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ED8C" w14:textId="77777777" w:rsidR="00D018FE" w:rsidRPr="00D018FE" w:rsidRDefault="00D018FE" w:rsidP="00D018FE">
      <w:pPr>
        <w:rPr>
          <w:b/>
          <w:bCs/>
        </w:rPr>
      </w:pPr>
      <w:r w:rsidRPr="00D018FE">
        <w:rPr>
          <w:b/>
          <w:bCs/>
        </w:rPr>
        <w:t>USTR Finalizes Section 301 Tariff Modifications Following Four-Year Review</w:t>
      </w:r>
    </w:p>
    <w:p w14:paraId="6B00D006" w14:textId="4DDAA68C" w:rsidR="00D018FE" w:rsidRPr="00D018FE" w:rsidRDefault="00D018FE" w:rsidP="00D018FE">
      <w:r w:rsidRPr="00D018FE">
        <w:t>On September 13,</w:t>
      </w:r>
      <w:commentRangeStart w:id="0"/>
      <w:r w:rsidRPr="00D018FE">
        <w:t xml:space="preserve"> </w:t>
      </w:r>
      <w:commentRangeEnd w:id="0"/>
      <w:r w:rsidR="00A46F94">
        <w:rPr>
          <w:rStyle w:val="CommentReference"/>
        </w:rPr>
        <w:commentReference w:id="0"/>
      </w:r>
      <w:r w:rsidRPr="00D018FE">
        <w:t>the Office of the U.S. Trade Representative</w:t>
      </w:r>
      <w:commentRangeStart w:id="1"/>
      <w:r w:rsidRPr="00D018FE">
        <w:t xml:space="preserve"> </w:t>
      </w:r>
      <w:commentRangeEnd w:id="1"/>
      <w:r w:rsidR="00501869">
        <w:rPr>
          <w:rStyle w:val="CommentReference"/>
        </w:rPr>
        <w:commentReference w:id="1"/>
      </w:r>
      <w:r w:rsidRPr="00D018FE">
        <w:t>released a</w:t>
      </w:r>
      <w:commentRangeStart w:id="2"/>
      <w:r w:rsidRPr="00D018FE">
        <w:t xml:space="preserve"> </w:t>
      </w:r>
      <w:commentRangeEnd w:id="2"/>
      <w:r w:rsidR="00A46F94">
        <w:rPr>
          <w:rStyle w:val="CommentReference"/>
        </w:rPr>
        <w:commentReference w:id="2"/>
      </w:r>
      <w:r w:rsidRPr="00FA6358">
        <w:rPr>
          <w:i/>
          <w:iCs/>
        </w:rPr>
        <w:t>Federal Register</w:t>
      </w:r>
      <w:r w:rsidRPr="00D018FE">
        <w:t xml:space="preserve"> notice detailing final modifications to Section 301 tariffs on Chinese imports following its statutorily mandated four-year review. Key points:</w:t>
      </w:r>
    </w:p>
    <w:p w14:paraId="193970EB" w14:textId="625AC7C0" w:rsidR="00D018FE" w:rsidRPr="00D018FE" w:rsidRDefault="00D018FE" w:rsidP="00D018FE">
      <w:pPr>
        <w:numPr>
          <w:ilvl w:val="0"/>
          <w:numId w:val="1"/>
        </w:numPr>
      </w:pPr>
      <w:r w:rsidRPr="00D018FE">
        <w:t xml:space="preserve">New tariffs will take effect on September 27 for increases scheduled in 2024. Increases for 2025 and 2026 will apply from January 1 of </w:t>
      </w:r>
      <w:r w:rsidR="00A46F94">
        <w:t>each</w:t>
      </w:r>
      <w:r w:rsidR="00A46F94" w:rsidRPr="00D018FE">
        <w:t xml:space="preserve"> </w:t>
      </w:r>
      <w:r w:rsidRPr="00D018FE">
        <w:t>respective year.</w:t>
      </w:r>
    </w:p>
    <w:p w14:paraId="4BAD9FCB" w14:textId="4FADFE12" w:rsidR="00D018FE" w:rsidRPr="00D018FE" w:rsidRDefault="00D018FE" w:rsidP="00D018FE">
      <w:pPr>
        <w:numPr>
          <w:ilvl w:val="0"/>
          <w:numId w:val="1"/>
        </w:numPr>
      </w:pPr>
      <w:r w:rsidRPr="00D018FE">
        <w:t>Tariff increases target strategic sectors</w:t>
      </w:r>
      <w:r w:rsidR="00A46F94">
        <w:t>,</w:t>
      </w:r>
      <w:r w:rsidRPr="00D018FE">
        <w:t xml:space="preserve"> including electric vehicles, batteries, semiconductors, solar cell</w:t>
      </w:r>
      <w:commentRangeStart w:id="3"/>
      <w:r w:rsidRPr="00D018FE">
        <w:t>s</w:t>
      </w:r>
      <w:commentRangeEnd w:id="3"/>
      <w:r w:rsidR="00A46F94">
        <w:rPr>
          <w:rStyle w:val="CommentReference"/>
        </w:rPr>
        <w:commentReference w:id="3"/>
      </w:r>
      <w:r w:rsidRPr="00D018FE">
        <w:t xml:space="preserve"> and medical products.</w:t>
      </w:r>
    </w:p>
    <w:p w14:paraId="5ED7FFF8" w14:textId="60F8D2E7" w:rsidR="00D018FE" w:rsidRPr="00D018FE" w:rsidRDefault="0011277D" w:rsidP="00D018FE">
      <w:pPr>
        <w:numPr>
          <w:ilvl w:val="0"/>
          <w:numId w:val="1"/>
        </w:numPr>
      </w:pPr>
      <w:r>
        <w:t>C</w:t>
      </w:r>
      <w:r w:rsidR="00D018FE" w:rsidRPr="00D018FE">
        <w:t>hanges from the May 2024 proposal include:</w:t>
      </w:r>
    </w:p>
    <w:p w14:paraId="1F83A30A" w14:textId="44BFC401" w:rsidR="00D018FE" w:rsidRPr="00D018FE" w:rsidRDefault="00D018FE" w:rsidP="00D018FE">
      <w:pPr>
        <w:numPr>
          <w:ilvl w:val="1"/>
          <w:numId w:val="1"/>
        </w:numPr>
      </w:pPr>
      <w:r w:rsidRPr="00D018FE">
        <w:t>Increased tariffs on facemasks, medical gloves and syringes/needles</w:t>
      </w:r>
    </w:p>
    <w:p w14:paraId="18127739" w14:textId="77777777" w:rsidR="00D018FE" w:rsidRPr="00D018FE" w:rsidRDefault="00D018FE" w:rsidP="00D018FE">
      <w:pPr>
        <w:numPr>
          <w:ilvl w:val="1"/>
          <w:numId w:val="1"/>
        </w:numPr>
      </w:pPr>
      <w:r w:rsidRPr="00D018FE">
        <w:t>Exclusion for enteral syringes through January 1, 2026</w:t>
      </w:r>
    </w:p>
    <w:p w14:paraId="17748F37" w14:textId="0BCF3D46" w:rsidR="00D018FE" w:rsidRPr="00D018FE" w:rsidRDefault="00D018FE" w:rsidP="00D018FE">
      <w:pPr>
        <w:numPr>
          <w:ilvl w:val="1"/>
          <w:numId w:val="1"/>
        </w:numPr>
      </w:pPr>
      <w:r w:rsidRPr="00D018FE">
        <w:t>Exclusion process for ship-to-shore cranes ordered before May 14</w:t>
      </w:r>
    </w:p>
    <w:p w14:paraId="6DA6EBB9" w14:textId="77777777" w:rsidR="00D018FE" w:rsidRPr="00D018FE" w:rsidRDefault="00D018FE" w:rsidP="00D018FE">
      <w:pPr>
        <w:numPr>
          <w:ilvl w:val="0"/>
          <w:numId w:val="1"/>
        </w:numPr>
      </w:pPr>
      <w:r w:rsidRPr="00D018FE">
        <w:t>An exclusion process for certain machinery used in domestic manufacturing will be launched soon.</w:t>
      </w:r>
    </w:p>
    <w:p w14:paraId="37AE01A2" w14:textId="2B22FA79" w:rsidR="00D018FE" w:rsidRPr="00D018FE" w:rsidRDefault="0011277D" w:rsidP="00D018FE">
      <w:pPr>
        <w:numPr>
          <w:ilvl w:val="0"/>
          <w:numId w:val="1"/>
        </w:numPr>
      </w:pPr>
      <w:r>
        <w:t>Fourteen</w:t>
      </w:r>
      <w:r w:rsidR="00D018FE" w:rsidRPr="00D018FE">
        <w:t xml:space="preserve"> temporary exclusions for solar manufacturing equipment were approved, effective retroactively to January 1 through May 31, 2025.</w:t>
      </w:r>
    </w:p>
    <w:p w14:paraId="29816D35" w14:textId="77777777" w:rsidR="00D018FE" w:rsidRPr="00D018FE" w:rsidRDefault="00D018FE" w:rsidP="00D018FE">
      <w:r w:rsidRPr="00D018FE">
        <w:t xml:space="preserve">The final list of affected products and tariff rates can be found in Annex A of the </w:t>
      </w:r>
      <w:r w:rsidRPr="00FA6358">
        <w:rPr>
          <w:i/>
          <w:iCs/>
        </w:rPr>
        <w:t>Federal Register</w:t>
      </w:r>
      <w:r w:rsidRPr="00D018FE">
        <w:t xml:space="preserve"> notice. Importers should review the final product list carefully to determine impacts on their supply chains and consider strategies to mitigate increased costs.</w:t>
      </w:r>
    </w:p>
    <w:commentRangeStart w:id="4"/>
    <w:p w14:paraId="65475D6C" w14:textId="77777777" w:rsidR="00D018FE" w:rsidRPr="00D018FE" w:rsidRDefault="00FA6358" w:rsidP="00D018FE">
      <w:r>
        <w:fldChar w:fldCharType="begin"/>
      </w:r>
      <w:r>
        <w:instrText>HYPERLINK "https://ustr.gov/sites/default/files/Section%20301%20Modifications%20Determination%20FRN%20(Sept%2012%202024)%20(FINAL).pdf"</w:instrText>
      </w:r>
      <w:r>
        <w:fldChar w:fldCharType="separate"/>
      </w:r>
      <w:r w:rsidR="00D018FE" w:rsidRPr="00D018FE">
        <w:rPr>
          <w:rStyle w:val="Hyperlink"/>
        </w:rPr>
        <w:t>https://ustr.gov/sites/default/files/Section%20301%20Modifications%20Determination%20FRN%20(Sept%2012%202024)%20(FINAL).pdf</w:t>
      </w:r>
      <w:r>
        <w:rPr>
          <w:rStyle w:val="Hyperlink"/>
        </w:rPr>
        <w:fldChar w:fldCharType="end"/>
      </w:r>
      <w:commentRangeEnd w:id="4"/>
      <w:r w:rsidR="0011277D">
        <w:rPr>
          <w:rStyle w:val="CommentReference"/>
        </w:rPr>
        <w:commentReference w:id="4"/>
      </w:r>
    </w:p>
    <w:p w14:paraId="306F704A" w14:textId="77777777" w:rsidR="00737C7C" w:rsidRDefault="00737C7C"/>
    <w:sectPr w:rsidR="0073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arrie" w:date="2024-09-19T11:52:00Z" w:initials="CD">
    <w:p w14:paraId="6A287162" w14:textId="77777777" w:rsidR="00A46F94" w:rsidRDefault="00A46F94" w:rsidP="00A46F94">
      <w:pPr>
        <w:pStyle w:val="CommentText"/>
      </w:pPr>
      <w:r>
        <w:rPr>
          <w:rStyle w:val="CommentReference"/>
        </w:rPr>
        <w:annotationRef/>
      </w:r>
      <w:r>
        <w:t>Current year deleted per AP style.</w:t>
      </w:r>
    </w:p>
  </w:comment>
  <w:comment w:id="1" w:author="Carrie" w:date="2024-09-19T11:58:00Z" w:initials="CD">
    <w:p w14:paraId="28237197" w14:textId="77777777" w:rsidR="00501869" w:rsidRDefault="00501869" w:rsidP="00501869">
      <w:pPr>
        <w:pStyle w:val="CommentText"/>
      </w:pPr>
      <w:r>
        <w:rPr>
          <w:rStyle w:val="CommentReference"/>
        </w:rPr>
        <w:annotationRef/>
      </w:r>
      <w:r>
        <w:t>Parenthetical deleted because the abbreviation isn’t used anywhere in the body copy.</w:t>
      </w:r>
    </w:p>
  </w:comment>
  <w:comment w:id="2" w:author="Carrie" w:date="2024-09-19T11:53:00Z" w:initials="CD">
    <w:p w14:paraId="5C355F7B" w14:textId="36EAEF45" w:rsidR="00A46F94" w:rsidRDefault="00A46F94" w:rsidP="00A46F94">
      <w:pPr>
        <w:pStyle w:val="CommentText"/>
      </w:pPr>
      <w:r>
        <w:rPr>
          <w:rStyle w:val="CommentReference"/>
        </w:rPr>
        <w:annotationRef/>
      </w:r>
      <w:r>
        <w:t>We italicized the name of the publication per the style guide.</w:t>
      </w:r>
    </w:p>
  </w:comment>
  <w:comment w:id="3" w:author="Carrie" w:date="2024-09-19T11:54:00Z" w:initials="CD">
    <w:p w14:paraId="02CE6080" w14:textId="77777777" w:rsidR="00A46F94" w:rsidRDefault="00A46F94" w:rsidP="00A46F94">
      <w:pPr>
        <w:pStyle w:val="CommentText"/>
      </w:pPr>
      <w:r>
        <w:rPr>
          <w:rStyle w:val="CommentReference"/>
        </w:rPr>
        <w:annotationRef/>
      </w:r>
      <w:r>
        <w:t>We deleted the serial comma that followed per the style guide.</w:t>
      </w:r>
    </w:p>
  </w:comment>
  <w:comment w:id="4" w:author="Lisa G" w:date="2024-09-19T11:44:00Z" w:initials="LG">
    <w:p w14:paraId="29F1DD6D" w14:textId="02826A75" w:rsidR="0011277D" w:rsidRDefault="0011277D" w:rsidP="0011277D">
      <w:pPr>
        <w:pStyle w:val="CommentText"/>
      </w:pPr>
      <w:r>
        <w:rPr>
          <w:rStyle w:val="CommentReference"/>
        </w:rPr>
        <w:annotationRef/>
      </w:r>
      <w:r>
        <w:t>Link works.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287162" w15:done="1"/>
  <w15:commentEx w15:paraId="28237197" w15:done="1"/>
  <w15:commentEx w15:paraId="5C355F7B" w15:done="1"/>
  <w15:commentEx w15:paraId="02CE6080" w15:done="1"/>
  <w15:commentEx w15:paraId="29F1DD6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10CE5C" w16cex:dateUtc="2024-09-19T15:52:00Z"/>
  <w16cex:commentExtensible w16cex:durableId="589096EA" w16cex:dateUtc="2024-09-19T15:58:00Z"/>
  <w16cex:commentExtensible w16cex:durableId="20427242" w16cex:dateUtc="2024-09-19T15:53:00Z"/>
  <w16cex:commentExtensible w16cex:durableId="62904DA7" w16cex:dateUtc="2024-09-19T15:54:00Z"/>
  <w16cex:commentExtensible w16cex:durableId="145680BA" w16cex:dateUtc="2024-09-19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287162" w16cid:durableId="2910CE5C"/>
  <w16cid:commentId w16cid:paraId="28237197" w16cid:durableId="589096EA"/>
  <w16cid:commentId w16cid:paraId="5C355F7B" w16cid:durableId="20427242"/>
  <w16cid:commentId w16cid:paraId="02CE6080" w16cid:durableId="62904DA7"/>
  <w16cid:commentId w16cid:paraId="29F1DD6D" w16cid:durableId="145680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9A502" w14:textId="77777777" w:rsidR="00FA6358" w:rsidRDefault="00FA6358" w:rsidP="00FA6358">
      <w:pPr>
        <w:spacing w:after="0" w:line="240" w:lineRule="auto"/>
      </w:pPr>
      <w:r>
        <w:separator/>
      </w:r>
    </w:p>
  </w:endnote>
  <w:endnote w:type="continuationSeparator" w:id="0">
    <w:p w14:paraId="753FFFA6" w14:textId="77777777" w:rsidR="00FA6358" w:rsidRDefault="00FA6358" w:rsidP="00FA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A7E2" w14:textId="77777777" w:rsidR="00FA6358" w:rsidRDefault="00FA6358" w:rsidP="00FA6358">
      <w:pPr>
        <w:spacing w:after="0" w:line="240" w:lineRule="auto"/>
      </w:pPr>
      <w:r>
        <w:separator/>
      </w:r>
    </w:p>
  </w:footnote>
  <w:footnote w:type="continuationSeparator" w:id="0">
    <w:p w14:paraId="5A93D3A2" w14:textId="77777777" w:rsidR="00FA6358" w:rsidRDefault="00FA6358" w:rsidP="00FA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C52FE"/>
    <w:multiLevelType w:val="multilevel"/>
    <w:tmpl w:val="3DA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7234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rie">
    <w15:presenceInfo w15:providerId="None" w15:userId="Carrie"/>
  </w15:person>
  <w15:person w15:author="Lisa G">
    <w15:presenceInfo w15:providerId="None" w15:userId="Lisa 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FE"/>
    <w:rsid w:val="000532A0"/>
    <w:rsid w:val="0011277D"/>
    <w:rsid w:val="002D3087"/>
    <w:rsid w:val="003C0BF3"/>
    <w:rsid w:val="004A5D57"/>
    <w:rsid w:val="00501869"/>
    <w:rsid w:val="00737C7C"/>
    <w:rsid w:val="00831AD3"/>
    <w:rsid w:val="009E7890"/>
    <w:rsid w:val="00A46F94"/>
    <w:rsid w:val="00D018FE"/>
    <w:rsid w:val="00DF7D5A"/>
    <w:rsid w:val="00F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42E6"/>
  <w15:chartTrackingRefBased/>
  <w15:docId w15:val="{24793A01-5B04-486C-A594-3690A84F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8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18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77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277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2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7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58"/>
  </w:style>
  <w:style w:type="paragraph" w:styleId="Footer">
    <w:name w:val="footer"/>
    <w:basedOn w:val="Normal"/>
    <w:link w:val="FooterChar"/>
    <w:uiPriority w:val="99"/>
    <w:unhideWhenUsed/>
    <w:rsid w:val="00FA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18/08/relationships/commentsExtensible" Target="commentsExtensi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 D B I W O V ! 6 0 3 3 7 5 3 9 . 2 < / d o c u m e n t i d >  
     < s e n d e r i d > M C L A 6 3 0 6 < / s e n d e r i d >  
     < s e n d e r e m a i l > C M C L A U G H L I N @ L O W E N S T E I N . C O M < / s e n d e r e m a i l >  
     < l a s t m o d i f i e d > 2 0 2 4 - 0 9 - 2 0 T 0 9 : 5 4 : 0 0 . 0 0 0 0 0 0 0 - 0 4 : 0 0 < / l a s t m o d i f i e d >  
     < d a t a b a s e > D B I W O V 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1388</Characters>
  <Application>Microsoft Office Word</Application>
  <DocSecurity>0</DocSecurity>
  <Lines>23</Lines>
  <Paragraphs>15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Chas</dc:creator>
  <cp:keywords/>
  <dc:description/>
  <cp:lastModifiedBy>McLaughlin, Chas</cp:lastModifiedBy>
  <cp:revision>5</cp:revision>
  <dcterms:created xsi:type="dcterms:W3CDTF">2024-09-19T15:14:00Z</dcterms:created>
  <dcterms:modified xsi:type="dcterms:W3CDTF">2024-09-20T13:54:00Z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o">
    <vt:lpwstr>60337539</vt:lpwstr>
  </property>
  <property fmtid="{D5CDD505-2E9C-101B-9397-08002B2CF9AE}" pid="3" name="DocVer">
    <vt:lpwstr>2</vt:lpwstr>
  </property>
  <property fmtid="{D5CDD505-2E9C-101B-9397-08002B2CF9AE}" pid="4" name="LSCLIENT">
    <vt:lpwstr>99992</vt:lpwstr>
  </property>
  <property fmtid="{D5CDD505-2E9C-101B-9397-08002B2CF9AE}" pid="5" name="LSCLIENTNAME">
    <vt:lpwstr>LS - Marketing &amp; Client Development</vt:lpwstr>
  </property>
  <property fmtid="{D5CDD505-2E9C-101B-9397-08002B2CF9AE}" pid="6" name="LSMATTER">
    <vt:lpwstr>96</vt:lpwstr>
  </property>
  <property fmtid="{D5CDD505-2E9C-101B-9397-08002B2CF9AE}" pid="7" name="LSMATTERNAME">
    <vt:lpwstr>Business Development Materials</vt:lpwstr>
  </property>
  <property fmtid="{D5CDD505-2E9C-101B-9397-08002B2CF9AE}" pid="8" name="LSTypist">
    <vt:lpwstr>McLaughlin, Chas</vt:lpwstr>
  </property>
</Properties>
</file>