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0857" w14:textId="050C66ED" w:rsidR="00DC061F" w:rsidRPr="0093014F" w:rsidRDefault="00DC061F" w:rsidP="00DC061F">
      <w:pPr>
        <w:jc w:val="both"/>
      </w:pPr>
      <w:r w:rsidRPr="0093014F">
        <w:rPr>
          <w:b/>
          <w:bCs/>
          <w:u w:val="single"/>
        </w:rPr>
        <w:t>Title</w:t>
      </w:r>
      <w:r w:rsidRPr="0093014F">
        <w:t xml:space="preserve">: </w:t>
      </w:r>
      <w:r>
        <w:t xml:space="preserve">Environmental Justice </w:t>
      </w:r>
      <w:r w:rsidR="000B6827">
        <w:t xml:space="preserve">Is Here </w:t>
      </w:r>
      <w:proofErr w:type="gramStart"/>
      <w:r w:rsidR="000B6827">
        <w:t>To</w:t>
      </w:r>
      <w:proofErr w:type="gramEnd"/>
      <w:r w:rsidR="000B6827">
        <w:t xml:space="preserve"> Stay (</w:t>
      </w:r>
      <w:r w:rsidR="00827A10">
        <w:t>i</w:t>
      </w:r>
      <w:r w:rsidR="000B6827">
        <w:t>n New Jersey</w:t>
      </w:r>
      <w:r w:rsidR="009D1CE7">
        <w:t xml:space="preserve"> </w:t>
      </w:r>
      <w:r w:rsidR="00827A10">
        <w:t>a</w:t>
      </w:r>
      <w:r w:rsidR="009D1CE7">
        <w:t>t Least</w:t>
      </w:r>
      <w:r w:rsidR="000B6827">
        <w:t>)</w:t>
      </w:r>
      <w:r w:rsidR="009D1CE7">
        <w:t xml:space="preserve">: Appellate Division Affirms </w:t>
      </w:r>
      <w:r w:rsidR="001B1F5C">
        <w:t xml:space="preserve">NJDEP’s </w:t>
      </w:r>
      <w:r w:rsidR="009D1CE7">
        <w:t>EJ Rules</w:t>
      </w:r>
    </w:p>
    <w:p w14:paraId="632EDB2D" w14:textId="2B81FD7B" w:rsidR="00DC061F" w:rsidRPr="0093014F" w:rsidRDefault="00DC061F" w:rsidP="00DC061F">
      <w:pPr>
        <w:jc w:val="both"/>
      </w:pPr>
      <w:r w:rsidRPr="0093014F">
        <w:rPr>
          <w:b/>
          <w:bCs/>
          <w:u w:val="single"/>
        </w:rPr>
        <w:t>By</w:t>
      </w:r>
      <w:r w:rsidR="00DF3AA6" w:rsidRPr="0093014F">
        <w:t>:</w:t>
      </w:r>
      <w:r w:rsidRPr="0093014F">
        <w:t xml:space="preserve"> Mark S. Heinzelmann</w:t>
      </w:r>
      <w:r>
        <w:t xml:space="preserve"> </w:t>
      </w:r>
      <w:r w:rsidRPr="0093014F">
        <w:t>and Brian S. Winfield</w:t>
      </w:r>
    </w:p>
    <w:p w14:paraId="179B4B01" w14:textId="77777777" w:rsidR="00DC061F" w:rsidRPr="0093014F" w:rsidRDefault="00DC061F" w:rsidP="00DC061F">
      <w:pPr>
        <w:jc w:val="both"/>
      </w:pPr>
    </w:p>
    <w:p w14:paraId="6627A8FB" w14:textId="473F5A34" w:rsidR="00263A12" w:rsidRDefault="00262DA5" w:rsidP="00DC061F">
      <w:pPr>
        <w:jc w:val="both"/>
      </w:pPr>
      <w:r>
        <w:t xml:space="preserve">The New Jersey Department of Environmental Protection’s (NJDEP) groundbreaking Environmental Justice Rules (EJ Rules), codified at N.J.A.C. 7:1C, went into effect on April 17, </w:t>
      </w:r>
      <w:r w:rsidR="00E04603">
        <w:t>2023,</w:t>
      </w:r>
      <w:r>
        <w:t xml:space="preserve"> following the passage of New Jersey’s Environmental Justice Law (EJ Law) in September 2020 (N.J.S.A. 13:1D-157 et seq.).</w:t>
      </w:r>
      <w:r w:rsidR="00827A10">
        <w:t xml:space="preserve"> </w:t>
      </w:r>
      <w:r>
        <w:t>Given their breadt</w:t>
      </w:r>
      <w:r w:rsidR="00E04603">
        <w:t>h, complexity, and impact on environmental permitting, it was only a matter of time before the EJ Rules were subject to legal challenge</w:t>
      </w:r>
      <w:r w:rsidR="00DF3AA6">
        <w:t>s</w:t>
      </w:r>
      <w:r w:rsidR="00E04603">
        <w:t>.</w:t>
      </w:r>
      <w:r w:rsidR="00827A10">
        <w:t xml:space="preserve"> </w:t>
      </w:r>
      <w:r w:rsidR="00E04603">
        <w:t>Th</w:t>
      </w:r>
      <w:r w:rsidR="00865794">
        <w:t xml:space="preserve">ose </w:t>
      </w:r>
      <w:r w:rsidR="00E04603">
        <w:t>challenge</w:t>
      </w:r>
      <w:r w:rsidR="00865794">
        <w:t>s</w:t>
      </w:r>
      <w:r w:rsidR="00E04603">
        <w:t xml:space="preserve"> came</w:t>
      </w:r>
      <w:r w:rsidR="00F02A9E">
        <w:t xml:space="preserve"> in </w:t>
      </w:r>
      <w:r w:rsidR="001B1F5C">
        <w:t xml:space="preserve">the form of </w:t>
      </w:r>
      <w:r w:rsidR="00F02A9E">
        <w:t>two separate appeals</w:t>
      </w:r>
      <w:r w:rsidR="00E04603">
        <w:t xml:space="preserve"> in </w:t>
      </w:r>
      <w:r w:rsidR="00865794">
        <w:t>June 2023</w:t>
      </w:r>
      <w:r w:rsidR="00E04603">
        <w:t>, when</w:t>
      </w:r>
      <w:r w:rsidR="00F02A9E">
        <w:t xml:space="preserve"> </w:t>
      </w:r>
      <w:r w:rsidR="00E04603">
        <w:t>industry groups filed</w:t>
      </w:r>
      <w:r w:rsidR="00AD3F76">
        <w:t xml:space="preserve"> </w:t>
      </w:r>
      <w:r w:rsidR="00E04603">
        <w:t>formal application</w:t>
      </w:r>
      <w:r w:rsidR="00AD3F76">
        <w:t>s</w:t>
      </w:r>
      <w:r w:rsidR="00E04603">
        <w:t xml:space="preserve"> in the Superior Court of New Jersey, Appellate Division, seeking to invalidate the EJ Rules</w:t>
      </w:r>
      <w:r w:rsidR="00AD3F76">
        <w:t>.</w:t>
      </w:r>
      <w:r w:rsidR="00827A10">
        <w:t xml:space="preserve"> </w:t>
      </w:r>
    </w:p>
    <w:p w14:paraId="0CBD8F41" w14:textId="77777777" w:rsidR="00263A12" w:rsidRDefault="00263A12" w:rsidP="00DC061F">
      <w:pPr>
        <w:jc w:val="both"/>
      </w:pPr>
    </w:p>
    <w:p w14:paraId="66AC302C" w14:textId="16237E3D" w:rsidR="00900DEC" w:rsidRDefault="00DC061F" w:rsidP="00263A12">
      <w:pPr>
        <w:jc w:val="both"/>
      </w:pPr>
      <w:r w:rsidRPr="0093014F">
        <w:t xml:space="preserve">On </w:t>
      </w:r>
      <w:r>
        <w:t>January 5</w:t>
      </w:r>
      <w:r w:rsidRPr="0093014F">
        <w:t>, 202</w:t>
      </w:r>
      <w:r>
        <w:t>6</w:t>
      </w:r>
      <w:r w:rsidRPr="0093014F">
        <w:t xml:space="preserve">, </w:t>
      </w:r>
      <w:r>
        <w:t>the Appellate Division</w:t>
      </w:r>
      <w:r w:rsidR="00E04603">
        <w:t xml:space="preserve"> issued its</w:t>
      </w:r>
      <w:r w:rsidR="00C71279">
        <w:t xml:space="preserve"> consolidated</w:t>
      </w:r>
      <w:r w:rsidR="00E04603">
        <w:t xml:space="preserve"> </w:t>
      </w:r>
      <w:hyperlink r:id="rId8" w:history="1">
        <w:r w:rsidR="00E04603" w:rsidRPr="00C71279">
          <w:rPr>
            <w:rStyle w:val="Hyperlink"/>
          </w:rPr>
          <w:t>decision</w:t>
        </w:r>
      </w:hyperlink>
      <w:r w:rsidR="001B1F5C">
        <w:t xml:space="preserve"> in both appeals</w:t>
      </w:r>
      <w:r w:rsidR="00DF3AA6">
        <w:t>,</w:t>
      </w:r>
      <w:r w:rsidR="00256BB9">
        <w:rPr>
          <w:rStyle w:val="FootnoteReference"/>
        </w:rPr>
        <w:footnoteReference w:id="1"/>
      </w:r>
      <w:r w:rsidR="00E04603">
        <w:t xml:space="preserve"> </w:t>
      </w:r>
      <w:r w:rsidRPr="006A0CAE">
        <w:t>affirm</w:t>
      </w:r>
      <w:r w:rsidR="00263A12">
        <w:t>ing the EJ Rules.</w:t>
      </w:r>
      <w:r w:rsidR="00827A10">
        <w:t xml:space="preserve"> </w:t>
      </w:r>
      <w:r w:rsidR="00D80600">
        <w:t>In</w:t>
      </w:r>
      <w:r w:rsidR="00523C2A" w:rsidRPr="00523C2A">
        <w:t xml:space="preserve"> rejecting</w:t>
      </w:r>
      <w:r w:rsidR="00D80600">
        <w:t xml:space="preserve"> the</w:t>
      </w:r>
      <w:r w:rsidR="00523C2A" w:rsidRPr="00523C2A">
        <w:t xml:space="preserve"> broad procedural and substantive </w:t>
      </w:r>
      <w:r w:rsidR="00263A12">
        <w:t xml:space="preserve">arguments raised by the </w:t>
      </w:r>
      <w:r w:rsidR="00A30D74">
        <w:t>industry group</w:t>
      </w:r>
      <w:r w:rsidR="00263A12">
        <w:t xml:space="preserve"> challengers</w:t>
      </w:r>
      <w:r w:rsidR="00523C2A" w:rsidRPr="00523C2A">
        <w:t xml:space="preserve">, the </w:t>
      </w:r>
      <w:r w:rsidR="00263A12">
        <w:t>C</w:t>
      </w:r>
      <w:r w:rsidR="00523C2A" w:rsidRPr="00523C2A">
        <w:t xml:space="preserve">ourt upheld </w:t>
      </w:r>
      <w:r w:rsidR="001B4E35">
        <w:t xml:space="preserve">the </w:t>
      </w:r>
      <w:r w:rsidR="00523C2A" w:rsidRPr="00523C2A">
        <w:t xml:space="preserve">NJDEP’s authority to </w:t>
      </w:r>
      <w:r w:rsidR="00263A12">
        <w:t xml:space="preserve">develop rules that </w:t>
      </w:r>
      <w:r w:rsidR="00523C2A" w:rsidRPr="00523C2A">
        <w:t>interpret and implement the EJ Law</w:t>
      </w:r>
      <w:r w:rsidR="008C2EB8">
        <w:t>.</w:t>
      </w:r>
      <w:r w:rsidR="00827A10">
        <w:t xml:space="preserve"> </w:t>
      </w:r>
      <w:r w:rsidR="0031367E">
        <w:t>Subject to any appeal to the New Jersey Supreme Court, t</w:t>
      </w:r>
      <w:r w:rsidR="00263A12">
        <w:t xml:space="preserve">he Appellate Division’s decision </w:t>
      </w:r>
      <w:r w:rsidR="0031367E">
        <w:t>will</w:t>
      </w:r>
      <w:r w:rsidR="002C7B48">
        <w:t xml:space="preserve"> likely</w:t>
      </w:r>
      <w:r w:rsidR="0031367E">
        <w:t xml:space="preserve"> cement</w:t>
      </w:r>
      <w:r w:rsidR="00263A12">
        <w:t xml:space="preserve"> the EJ Rules as </w:t>
      </w:r>
      <w:r w:rsidR="0031367E">
        <w:t>a</w:t>
      </w:r>
      <w:r w:rsidR="00263A12">
        <w:t xml:space="preserve"> baseline </w:t>
      </w:r>
      <w:r w:rsidR="0031367E">
        <w:t xml:space="preserve">requirement </w:t>
      </w:r>
      <w:r w:rsidR="00263A12">
        <w:t xml:space="preserve">for environmental permitting in </w:t>
      </w:r>
      <w:r w:rsidR="0031367E">
        <w:t>New Jersey</w:t>
      </w:r>
      <w:r w:rsidR="00723E3E">
        <w:t xml:space="preserve">’s </w:t>
      </w:r>
      <w:r w:rsidR="0031367E">
        <w:t>overburdened communities (OBC).</w:t>
      </w:r>
      <w:r w:rsidR="00827A10">
        <w:t xml:space="preserve"> </w:t>
      </w:r>
    </w:p>
    <w:p w14:paraId="7FCFF14E" w14:textId="77777777" w:rsidR="00900DEC" w:rsidRDefault="00900DEC" w:rsidP="00263A12">
      <w:pPr>
        <w:jc w:val="both"/>
      </w:pPr>
    </w:p>
    <w:p w14:paraId="39B87E31" w14:textId="5C193355" w:rsidR="00A04275" w:rsidRDefault="00A04275" w:rsidP="00A04275">
      <w:pPr>
        <w:jc w:val="both"/>
      </w:pPr>
      <w:r>
        <w:t xml:space="preserve">As a refresher, the EJ Law supplements existing environmental permitting procedures by creating a framework for </w:t>
      </w:r>
      <w:r w:rsidR="001B4E35">
        <w:t xml:space="preserve">the </w:t>
      </w:r>
      <w:r>
        <w:t xml:space="preserve">NJDEP to evaluate the environmental and public health impacts that might </w:t>
      </w:r>
      <w:r w:rsidR="00472402">
        <w:t>ensue</w:t>
      </w:r>
      <w:r>
        <w:t xml:space="preserve"> when </w:t>
      </w:r>
      <w:r w:rsidR="006672C4">
        <w:t xml:space="preserve">the building of </w:t>
      </w:r>
      <w:r>
        <w:t xml:space="preserve">a new facility, </w:t>
      </w:r>
      <w:r w:rsidR="006672C4">
        <w:t xml:space="preserve">the </w:t>
      </w:r>
      <w:r>
        <w:t xml:space="preserve">expansion of an existing facility, or the renewal of a major source permit </w:t>
      </w:r>
      <w:r w:rsidR="00472402">
        <w:t>occurs</w:t>
      </w:r>
      <w:r>
        <w:t xml:space="preserve"> or </w:t>
      </w:r>
      <w:r w:rsidR="00472402">
        <w:t xml:space="preserve">is </w:t>
      </w:r>
      <w:r>
        <w:t>proposed in whole or in part within an OBC.</w:t>
      </w:r>
      <w:r w:rsidR="00827A10">
        <w:t xml:space="preserve"> </w:t>
      </w:r>
      <w:r>
        <w:t xml:space="preserve">The EJ Rules delineate each stage of the regulatory process and define key terms left open by the statute, providing the operative framework for permitting decisions in OBCs. </w:t>
      </w:r>
      <w:r w:rsidR="00836990">
        <w:t xml:space="preserve">You can review our full analysis of the </w:t>
      </w:r>
      <w:r>
        <w:t xml:space="preserve">final EJ Rules </w:t>
      </w:r>
      <w:hyperlink r:id="rId9" w:history="1">
        <w:r w:rsidRPr="00662085">
          <w:rPr>
            <w:rStyle w:val="Hyperlink"/>
          </w:rPr>
          <w:t>here</w:t>
        </w:r>
      </w:hyperlink>
      <w:r>
        <w:t xml:space="preserve">, which provides </w:t>
      </w:r>
      <w:r w:rsidR="00836990">
        <w:t xml:space="preserve">a discussion of key terms </w:t>
      </w:r>
      <w:r w:rsidR="00992B8B">
        <w:t xml:space="preserve">and regulatory steps as well as </w:t>
      </w:r>
      <w:r>
        <w:t>practical implications and applicability.</w:t>
      </w:r>
      <w:r w:rsidR="00827A10">
        <w:t xml:space="preserve"> </w:t>
      </w:r>
    </w:p>
    <w:p w14:paraId="230915F8" w14:textId="77777777" w:rsidR="00A04275" w:rsidRDefault="00A04275" w:rsidP="00A04275">
      <w:pPr>
        <w:jc w:val="both"/>
      </w:pPr>
    </w:p>
    <w:p w14:paraId="70E7A1B8" w14:textId="346ACF8A" w:rsidR="00B95C7B" w:rsidRDefault="00900DEC" w:rsidP="00B95C7B">
      <w:pPr>
        <w:jc w:val="both"/>
      </w:pPr>
      <w:r>
        <w:t>The NJDEP has already been requiring permit applicants in OBCs to comply with the EJ Rules in accordance with agency guidance.</w:t>
      </w:r>
      <w:r w:rsidR="00827A10">
        <w:t xml:space="preserve"> </w:t>
      </w:r>
      <w:r w:rsidR="00263A12">
        <w:t xml:space="preserve">Because the </w:t>
      </w:r>
      <w:r>
        <w:t>Appellate Division</w:t>
      </w:r>
      <w:r w:rsidR="00263A12">
        <w:t xml:space="preserve"> </w:t>
      </w:r>
      <w:r w:rsidR="0031367E">
        <w:t>affirmed</w:t>
      </w:r>
      <w:r w:rsidR="00263A12">
        <w:t xml:space="preserve"> </w:t>
      </w:r>
      <w:r w:rsidR="00992B8B">
        <w:t>both t</w:t>
      </w:r>
      <w:r w:rsidR="00263A12">
        <w:t>he EJ Rules</w:t>
      </w:r>
      <w:r w:rsidR="00992B8B">
        <w:t xml:space="preserve"> and </w:t>
      </w:r>
      <w:r>
        <w:t>the</w:t>
      </w:r>
      <w:r w:rsidR="00263A12">
        <w:t xml:space="preserve"> NJDEP’s </w:t>
      </w:r>
      <w:r>
        <w:t xml:space="preserve">authority to issue </w:t>
      </w:r>
      <w:r w:rsidR="00992B8B">
        <w:t xml:space="preserve">such </w:t>
      </w:r>
      <w:r w:rsidR="00263A12">
        <w:t xml:space="preserve">guidance, applicants </w:t>
      </w:r>
      <w:r>
        <w:t xml:space="preserve">in OBCs </w:t>
      </w:r>
      <w:r w:rsidR="00263A12">
        <w:t>should</w:t>
      </w:r>
      <w:r>
        <w:t xml:space="preserve"> be prepared to </w:t>
      </w:r>
      <w:r w:rsidR="00992B8B">
        <w:t>satisfy</w:t>
      </w:r>
      <w:r w:rsidR="00A04275">
        <w:t xml:space="preserve"> the environmental justice process </w:t>
      </w:r>
      <w:r w:rsidR="00992B8B">
        <w:t>wh</w:t>
      </w:r>
      <w:r w:rsidR="00B95C7B">
        <w:t xml:space="preserve">en filing </w:t>
      </w:r>
      <w:r w:rsidR="00A04275">
        <w:t>permitting application</w:t>
      </w:r>
      <w:r w:rsidR="00B95C7B">
        <w:t>s</w:t>
      </w:r>
      <w:r w:rsidR="00103A91" w:rsidRPr="00103A91">
        <w:t xml:space="preserve"> </w:t>
      </w:r>
      <w:r w:rsidR="00103A91">
        <w:t>for covered facilities</w:t>
      </w:r>
      <w:r w:rsidR="00A04275">
        <w:t>.</w:t>
      </w:r>
      <w:r w:rsidR="00827A10">
        <w:t xml:space="preserve"> </w:t>
      </w:r>
    </w:p>
    <w:p w14:paraId="68AB983D" w14:textId="77777777" w:rsidR="00B95C7B" w:rsidRDefault="00B95C7B" w:rsidP="00B95C7B">
      <w:pPr>
        <w:jc w:val="both"/>
      </w:pPr>
    </w:p>
    <w:p w14:paraId="5DB18F6B" w14:textId="7033EA68" w:rsidR="009645EE" w:rsidRDefault="009645EE" w:rsidP="00A04275">
      <w:pPr>
        <w:jc w:val="both"/>
      </w:pPr>
      <w:r>
        <w:t xml:space="preserve">With the EJ Rules intact, </w:t>
      </w:r>
      <w:r w:rsidR="008D66EC">
        <w:t xml:space="preserve">the </w:t>
      </w:r>
      <w:r>
        <w:t>NJDEP retains the authority</w:t>
      </w:r>
      <w:r w:rsidR="00A04275">
        <w:t>, in certain enumerated circumstances,</w:t>
      </w:r>
      <w:r>
        <w:t xml:space="preserve"> to deny permits for covered facilities</w:t>
      </w:r>
      <w:r w:rsidR="00A04275">
        <w:t xml:space="preserve"> except where there is </w:t>
      </w:r>
      <w:r>
        <w:t xml:space="preserve">a </w:t>
      </w:r>
      <w:r w:rsidR="00B95C7B">
        <w:t>narrowly defined</w:t>
      </w:r>
      <w:r>
        <w:t xml:space="preserve"> compelling public interest</w:t>
      </w:r>
      <w:r w:rsidR="00A04275">
        <w:t>.</w:t>
      </w:r>
      <w:r w:rsidR="00103A91">
        <w:rPr>
          <w:rStyle w:val="FootnoteReference"/>
        </w:rPr>
        <w:footnoteReference w:id="2"/>
      </w:r>
      <w:r w:rsidR="00827A10">
        <w:t xml:space="preserve"> </w:t>
      </w:r>
      <w:r w:rsidR="007A6417">
        <w:t xml:space="preserve">The </w:t>
      </w:r>
      <w:r w:rsidR="00A04275">
        <w:t>NJDEP also has the authority</w:t>
      </w:r>
      <w:r w:rsidR="00EE6C24">
        <w:t xml:space="preserve"> </w:t>
      </w:r>
      <w:r w:rsidR="00A04275">
        <w:t xml:space="preserve">to </w:t>
      </w:r>
      <w:r w:rsidR="00984E06">
        <w:t xml:space="preserve">impose </w:t>
      </w:r>
      <w:r>
        <w:t>site-specific conditions</w:t>
      </w:r>
      <w:r w:rsidR="004E0D13">
        <w:t xml:space="preserve"> </w:t>
      </w:r>
      <w:r w:rsidR="00A04275">
        <w:t xml:space="preserve">on permits </w:t>
      </w:r>
      <w:r w:rsidR="004E0D13">
        <w:t xml:space="preserve">to protect </w:t>
      </w:r>
      <w:r w:rsidR="00A95B1E">
        <w:t>public</w:t>
      </w:r>
      <w:r w:rsidR="004E0D13">
        <w:t xml:space="preserve"> health</w:t>
      </w:r>
      <w:r w:rsidR="00A04275">
        <w:t xml:space="preserve"> and safety</w:t>
      </w:r>
      <w:r w:rsidR="00D2641D">
        <w:t>.</w:t>
      </w:r>
      <w:r w:rsidR="00827A10">
        <w:t xml:space="preserve"> </w:t>
      </w:r>
      <w:r w:rsidR="003C6D07">
        <w:t>For</w:t>
      </w:r>
      <w:r w:rsidR="00103A91">
        <w:t xml:space="preserve"> example, in </w:t>
      </w:r>
      <w:r w:rsidR="00F94162">
        <w:t>July 2024</w:t>
      </w:r>
      <w:r w:rsidR="00EE6C24">
        <w:t xml:space="preserve">, </w:t>
      </w:r>
      <w:r w:rsidR="008D66EC">
        <w:t xml:space="preserve">the </w:t>
      </w:r>
      <w:r w:rsidR="00EE6C24">
        <w:t xml:space="preserve">NJDEP </w:t>
      </w:r>
      <w:r w:rsidR="00694C76">
        <w:t>exercised</w:t>
      </w:r>
      <w:r w:rsidR="00EE6C24">
        <w:t xml:space="preserve"> that authority</w:t>
      </w:r>
      <w:r w:rsidR="00B2776B">
        <w:t xml:space="preserve"> in its </w:t>
      </w:r>
      <w:hyperlink r:id="rId10" w:history="1">
        <w:r w:rsidR="00B2776B" w:rsidRPr="0060728B">
          <w:rPr>
            <w:rStyle w:val="Hyperlink"/>
          </w:rPr>
          <w:t>determination</w:t>
        </w:r>
      </w:hyperlink>
      <w:r w:rsidR="00B2776B">
        <w:t xml:space="preserve"> o</w:t>
      </w:r>
      <w:r w:rsidR="00103A91">
        <w:t>n</w:t>
      </w:r>
      <w:r w:rsidR="00B2776B">
        <w:t xml:space="preserve"> </w:t>
      </w:r>
      <w:r w:rsidR="00EE6C24">
        <w:t>the Passaic Valley Sewerage Commission</w:t>
      </w:r>
      <w:r w:rsidR="00694C76">
        <w:t>’s</w:t>
      </w:r>
      <w:r w:rsidR="00EE6C24">
        <w:t xml:space="preserve"> (PVSC</w:t>
      </w:r>
      <w:r w:rsidR="00B2776B">
        <w:t>)</w:t>
      </w:r>
      <w:r w:rsidR="007D674D">
        <w:t xml:space="preserve"> </w:t>
      </w:r>
      <w:r w:rsidR="00103A91">
        <w:t>permit modification request for construction and operation of</w:t>
      </w:r>
      <w:r w:rsidR="00694C76">
        <w:t xml:space="preserve"> a standby power</w:t>
      </w:r>
      <w:r w:rsidR="00A0013A">
        <w:t>-</w:t>
      </w:r>
      <w:r w:rsidR="00694C76">
        <w:t>generating facility in Newark</w:t>
      </w:r>
      <w:r w:rsidR="008D66EC">
        <w:t>.</w:t>
      </w:r>
      <w:r w:rsidR="00827A10">
        <w:t xml:space="preserve"> </w:t>
      </w:r>
      <w:r w:rsidR="008D66EC">
        <w:t xml:space="preserve">Because the EJ </w:t>
      </w:r>
      <w:r w:rsidR="008D66EC">
        <w:lastRenderedPageBreak/>
        <w:t xml:space="preserve">Rules were not yet published, that determination was made </w:t>
      </w:r>
      <w:r w:rsidR="00256BB9">
        <w:t xml:space="preserve">under </w:t>
      </w:r>
      <w:hyperlink r:id="rId11" w:history="1">
        <w:r w:rsidR="00F1707F" w:rsidRPr="00256BB9">
          <w:rPr>
            <w:rStyle w:val="Hyperlink"/>
          </w:rPr>
          <w:t>Administrative</w:t>
        </w:r>
        <w:r w:rsidR="00030A57" w:rsidRPr="00256BB9">
          <w:rPr>
            <w:rStyle w:val="Hyperlink"/>
          </w:rPr>
          <w:t xml:space="preserve"> Orde</w:t>
        </w:r>
        <w:r w:rsidR="00F1707F" w:rsidRPr="00256BB9">
          <w:rPr>
            <w:rStyle w:val="Hyperlink"/>
          </w:rPr>
          <w:t>r</w:t>
        </w:r>
      </w:hyperlink>
      <w:r w:rsidR="008D66EC">
        <w:t xml:space="preserve"> 2021-25</w:t>
      </w:r>
      <w:r w:rsidR="009A11CF">
        <w:t>, which</w:t>
      </w:r>
      <w:r w:rsidR="008D66EC">
        <w:t>, like the EJ Rules, authorized</w:t>
      </w:r>
      <w:r w:rsidR="00F94162">
        <w:t xml:space="preserve"> </w:t>
      </w:r>
      <w:r w:rsidR="00256BB9">
        <w:t>the agency</w:t>
      </w:r>
      <w:r w:rsidR="00F94162">
        <w:t xml:space="preserve"> to </w:t>
      </w:r>
      <w:r w:rsidR="00256BB9">
        <w:t xml:space="preserve">impose </w:t>
      </w:r>
      <w:r w:rsidR="00F94162">
        <w:t xml:space="preserve">special conditions </w:t>
      </w:r>
      <w:r w:rsidR="009A11CF">
        <w:t>on permits</w:t>
      </w:r>
      <w:r w:rsidR="00F94162">
        <w:t>.</w:t>
      </w:r>
      <w:r w:rsidR="00F1707F">
        <w:t xml:space="preserve"> After</w:t>
      </w:r>
      <w:r w:rsidR="00256BB9">
        <w:t xml:space="preserve"> a four-year review,</w:t>
      </w:r>
      <w:r w:rsidR="00F1707F">
        <w:t xml:space="preserve"> </w:t>
      </w:r>
      <w:r w:rsidR="009A11CF">
        <w:t xml:space="preserve">the </w:t>
      </w:r>
      <w:r w:rsidR="00F1707F">
        <w:t xml:space="preserve">NJDEP </w:t>
      </w:r>
      <w:r w:rsidR="00256BB9">
        <w:t xml:space="preserve">approved </w:t>
      </w:r>
      <w:r w:rsidR="00A0013A">
        <w:t xml:space="preserve">the </w:t>
      </w:r>
      <w:r w:rsidR="009A11CF">
        <w:t xml:space="preserve">PVSC’s </w:t>
      </w:r>
      <w:r w:rsidR="00256BB9">
        <w:t>permit modification</w:t>
      </w:r>
      <w:r w:rsidR="009A11CF">
        <w:t xml:space="preserve"> request</w:t>
      </w:r>
      <w:r w:rsidR="00256BB9">
        <w:t xml:space="preserve"> subject to </w:t>
      </w:r>
      <w:r w:rsidR="00A0013A">
        <w:t xml:space="preserve">11 </w:t>
      </w:r>
      <w:r w:rsidR="00BE44F1">
        <w:t>special conditions</w:t>
      </w:r>
      <w:r w:rsidR="00256BB9">
        <w:t xml:space="preserve">, </w:t>
      </w:r>
      <w:r w:rsidR="0060728B">
        <w:t xml:space="preserve">including the submission of a semiannual </w:t>
      </w:r>
      <w:r w:rsidR="009A11CF">
        <w:t xml:space="preserve">environmental justice </w:t>
      </w:r>
      <w:r w:rsidR="0060728B">
        <w:t>compliance report</w:t>
      </w:r>
      <w:r w:rsidR="00BE44F1">
        <w:t>.</w:t>
      </w:r>
      <w:r w:rsidR="00E01683">
        <w:t xml:space="preserve"> </w:t>
      </w:r>
    </w:p>
    <w:p w14:paraId="2A15ABB7" w14:textId="77777777" w:rsidR="00DC061F" w:rsidRDefault="00DC061F" w:rsidP="00DC061F">
      <w:pPr>
        <w:jc w:val="both"/>
      </w:pPr>
    </w:p>
    <w:p w14:paraId="07A8D1BC" w14:textId="204E27C3" w:rsidR="009D1CE7" w:rsidRDefault="00A04275" w:rsidP="00DC061F">
      <w:pPr>
        <w:jc w:val="both"/>
      </w:pPr>
      <w:r>
        <w:t xml:space="preserve">The Appellate Division’s decision </w:t>
      </w:r>
      <w:r w:rsidR="00DC061F">
        <w:t xml:space="preserve">marks the first </w:t>
      </w:r>
      <w:r w:rsidR="009D1CE7">
        <w:t xml:space="preserve">published </w:t>
      </w:r>
      <w:r w:rsidR="009A11CF">
        <w:t xml:space="preserve">result of a </w:t>
      </w:r>
      <w:r w:rsidR="00DC061F">
        <w:t xml:space="preserve">challenge </w:t>
      </w:r>
      <w:r w:rsidR="009D1CE7">
        <w:t xml:space="preserve">to </w:t>
      </w:r>
      <w:r w:rsidR="00DC061F">
        <w:t>the EJ Rules,</w:t>
      </w:r>
      <w:r w:rsidR="009D1CE7">
        <w:t xml:space="preserve"> with an application for review to</w:t>
      </w:r>
      <w:r w:rsidR="00DC061F">
        <w:t xml:space="preserve"> the </w:t>
      </w:r>
      <w:r w:rsidR="009D1CE7">
        <w:t>New Jersey</w:t>
      </w:r>
      <w:r w:rsidR="00DC061F">
        <w:t xml:space="preserve"> Supreme Cour</w:t>
      </w:r>
      <w:r w:rsidR="009D1CE7">
        <w:t>t and additional appellate challenges potentially to come.</w:t>
      </w:r>
      <w:r w:rsidR="00827A10">
        <w:t xml:space="preserve"> </w:t>
      </w:r>
      <w:r w:rsidR="009A11CF">
        <w:t xml:space="preserve">Pending any additional challenges, </w:t>
      </w:r>
      <w:r w:rsidR="009D1CE7">
        <w:t xml:space="preserve">for now the EJ Rules are here to stay. </w:t>
      </w:r>
    </w:p>
    <w:p w14:paraId="673287B0" w14:textId="01E95C44" w:rsidR="009D1CE7" w:rsidRDefault="009D1CE7" w:rsidP="00DC061F">
      <w:pPr>
        <w:jc w:val="both"/>
      </w:pPr>
    </w:p>
    <w:p w14:paraId="65690032" w14:textId="57BBB3B2" w:rsidR="009D1CE7" w:rsidRDefault="009D1CE7" w:rsidP="00DC061F">
      <w:pPr>
        <w:jc w:val="both"/>
      </w:pPr>
      <w:r>
        <w:t xml:space="preserve">For additional information on the EJ Rules, </w:t>
      </w:r>
      <w:r w:rsidR="009A11CF">
        <w:t xml:space="preserve">special permitting conditions, </w:t>
      </w:r>
      <w:r>
        <w:t xml:space="preserve">and environmental permitting in New Jersey, please contact the authors of this client alert. </w:t>
      </w:r>
    </w:p>
    <w:p w14:paraId="6190C9E3" w14:textId="77777777" w:rsidR="00104DE0" w:rsidRDefault="00104DE0" w:rsidP="006A0CAE">
      <w:pPr>
        <w:jc w:val="both"/>
      </w:pPr>
    </w:p>
    <w:sectPr w:rsidR="00104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A252" w14:textId="77777777" w:rsidR="002C275F" w:rsidRDefault="002C275F" w:rsidP="00256BB9">
      <w:r>
        <w:separator/>
      </w:r>
    </w:p>
  </w:endnote>
  <w:endnote w:type="continuationSeparator" w:id="0">
    <w:p w14:paraId="2644670F" w14:textId="77777777" w:rsidR="002C275F" w:rsidRDefault="002C275F" w:rsidP="0025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OlS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6AAF" w14:textId="77777777" w:rsidR="002C275F" w:rsidRDefault="002C275F" w:rsidP="00256BB9">
      <w:r>
        <w:separator/>
      </w:r>
    </w:p>
  </w:footnote>
  <w:footnote w:type="continuationSeparator" w:id="0">
    <w:p w14:paraId="2F7A0AFB" w14:textId="77777777" w:rsidR="002C275F" w:rsidRDefault="002C275F" w:rsidP="00256BB9">
      <w:r>
        <w:continuationSeparator/>
      </w:r>
    </w:p>
  </w:footnote>
  <w:footnote w:id="1">
    <w:p w14:paraId="695DCF35" w14:textId="593B3EE6" w:rsidR="004D163F" w:rsidRPr="004D163F" w:rsidRDefault="00256BB9" w:rsidP="004D163F">
      <w:pPr>
        <w:pStyle w:val="FootnoteText"/>
      </w:pPr>
      <w:r>
        <w:rPr>
          <w:rStyle w:val="FootnoteReference"/>
        </w:rPr>
        <w:footnoteRef/>
      </w:r>
      <w:r w:rsidR="00827A10">
        <w:t xml:space="preserve"> </w:t>
      </w:r>
      <w:r w:rsidR="004D163F" w:rsidRPr="004D163F">
        <w:rPr>
          <w:u w:val="single"/>
        </w:rPr>
        <w:t xml:space="preserve">Matter of New Jersey </w:t>
      </w:r>
      <w:proofErr w:type="spellStart"/>
      <w:r w:rsidR="004D163F" w:rsidRPr="004D163F">
        <w:rPr>
          <w:u w:val="single"/>
        </w:rPr>
        <w:t>Dep</w:t>
      </w:r>
      <w:r w:rsidR="00472402">
        <w:rPr>
          <w:u w:val="single"/>
        </w:rPr>
        <w:t>’</w:t>
      </w:r>
      <w:r w:rsidR="004D163F" w:rsidRPr="004D163F">
        <w:rPr>
          <w:u w:val="single"/>
        </w:rPr>
        <w:t>t</w:t>
      </w:r>
      <w:proofErr w:type="spellEnd"/>
      <w:r w:rsidR="004D163F" w:rsidRPr="004D163F">
        <w:rPr>
          <w:u w:val="single"/>
        </w:rPr>
        <w:t xml:space="preserve"> of </w:t>
      </w:r>
      <w:proofErr w:type="spellStart"/>
      <w:r w:rsidR="004D163F" w:rsidRPr="004D163F">
        <w:rPr>
          <w:u w:val="single"/>
        </w:rPr>
        <w:t>Envtl</w:t>
      </w:r>
      <w:proofErr w:type="spellEnd"/>
      <w:r w:rsidR="004D163F" w:rsidRPr="004D163F">
        <w:rPr>
          <w:u w:val="single"/>
        </w:rPr>
        <w:t>. Prot.</w:t>
      </w:r>
      <w:r w:rsidR="00472402">
        <w:rPr>
          <w:u w:val="single"/>
        </w:rPr>
        <w:t>’</w:t>
      </w:r>
      <w:r w:rsidR="004D163F" w:rsidRPr="004D163F">
        <w:rPr>
          <w:u w:val="single"/>
        </w:rPr>
        <w:t xml:space="preserve">s April 17, 2023, 55 N.J.R. 661(B) </w:t>
      </w:r>
      <w:r w:rsidR="00472402">
        <w:rPr>
          <w:u w:val="single"/>
        </w:rPr>
        <w:t>“</w:t>
      </w:r>
      <w:r w:rsidR="004D163F" w:rsidRPr="004D163F">
        <w:rPr>
          <w:u w:val="single"/>
        </w:rPr>
        <w:t>Environmental Justice Rules,</w:t>
      </w:r>
      <w:r w:rsidR="00472402">
        <w:rPr>
          <w:u w:val="single"/>
        </w:rPr>
        <w:t>”</w:t>
      </w:r>
      <w:r w:rsidR="004D163F" w:rsidRPr="004D163F">
        <w:rPr>
          <w:u w:val="single"/>
        </w:rPr>
        <w:t xml:space="preserve"> Adopted Amendments N.J.A.C. 7:1C</w:t>
      </w:r>
      <w:r w:rsidR="009A11CF">
        <w:rPr>
          <w:u w:val="single"/>
        </w:rPr>
        <w:t>,</w:t>
      </w:r>
      <w:r w:rsidR="004D163F" w:rsidRPr="004D163F">
        <w:rPr>
          <w:u w:val="single"/>
        </w:rPr>
        <w:t xml:space="preserve"> </w:t>
      </w:r>
      <w:r w:rsidR="009A11CF">
        <w:rPr>
          <w:u w:val="single"/>
        </w:rPr>
        <w:t>e</w:t>
      </w:r>
      <w:r w:rsidR="004D163F" w:rsidRPr="004D163F">
        <w:rPr>
          <w:u w:val="single"/>
        </w:rPr>
        <w:t xml:space="preserve">t </w:t>
      </w:r>
      <w:r w:rsidR="009A11CF">
        <w:rPr>
          <w:u w:val="single"/>
        </w:rPr>
        <w:t>s</w:t>
      </w:r>
      <w:r w:rsidR="004D163F" w:rsidRPr="004D163F">
        <w:rPr>
          <w:u w:val="single"/>
        </w:rPr>
        <w:t>eq.</w:t>
      </w:r>
      <w:r w:rsidR="004D163F" w:rsidRPr="004D163F">
        <w:t xml:space="preserve">, </w:t>
      </w:r>
      <w:r w:rsidR="001B1F5C">
        <w:t xml:space="preserve">__ N.J. Super. __, </w:t>
      </w:r>
      <w:r w:rsidR="004D163F" w:rsidRPr="004D163F">
        <w:t>A-2936-22, 2026 WL 20879 (N.J. Super. Ct. App. Div. Jan. 5, 2026)</w:t>
      </w:r>
      <w:r w:rsidR="009A11CF">
        <w:t>.</w:t>
      </w:r>
    </w:p>
    <w:p w14:paraId="5E7D506F" w14:textId="51A68CCF" w:rsidR="00256BB9" w:rsidRDefault="00256BB9">
      <w:pPr>
        <w:pStyle w:val="FootnoteText"/>
      </w:pPr>
    </w:p>
  </w:footnote>
  <w:footnote w:id="2">
    <w:p w14:paraId="1CECF837" w14:textId="426493E4" w:rsidR="00103A91" w:rsidRDefault="00103A91">
      <w:pPr>
        <w:pStyle w:val="FootnoteText"/>
      </w:pPr>
      <w:r>
        <w:rPr>
          <w:rStyle w:val="FootnoteReference"/>
        </w:rPr>
        <w:footnoteRef/>
      </w:r>
      <w:r>
        <w:t xml:space="preserve"> We note that the “compelling public interest” analysis expressly excludes the potential economic benefits of a facility.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1F"/>
    <w:rsid w:val="00000653"/>
    <w:rsid w:val="00030A57"/>
    <w:rsid w:val="00036E67"/>
    <w:rsid w:val="0003776C"/>
    <w:rsid w:val="00051F0E"/>
    <w:rsid w:val="00072219"/>
    <w:rsid w:val="000940A5"/>
    <w:rsid w:val="000B6827"/>
    <w:rsid w:val="000B7087"/>
    <w:rsid w:val="000D4F05"/>
    <w:rsid w:val="000E283B"/>
    <w:rsid w:val="000F1F1A"/>
    <w:rsid w:val="000F71CB"/>
    <w:rsid w:val="00103A91"/>
    <w:rsid w:val="00104B01"/>
    <w:rsid w:val="00104DE0"/>
    <w:rsid w:val="00115F2E"/>
    <w:rsid w:val="0012008F"/>
    <w:rsid w:val="00165AE5"/>
    <w:rsid w:val="001666E0"/>
    <w:rsid w:val="001B1F5C"/>
    <w:rsid w:val="001B4E35"/>
    <w:rsid w:val="001E30FE"/>
    <w:rsid w:val="002500D9"/>
    <w:rsid w:val="00251B2D"/>
    <w:rsid w:val="00256BB9"/>
    <w:rsid w:val="00257A6E"/>
    <w:rsid w:val="00262DA5"/>
    <w:rsid w:val="00263A12"/>
    <w:rsid w:val="0029148A"/>
    <w:rsid w:val="002A4A56"/>
    <w:rsid w:val="002B02EB"/>
    <w:rsid w:val="002B0F0C"/>
    <w:rsid w:val="002C275F"/>
    <w:rsid w:val="002C3E9B"/>
    <w:rsid w:val="002C7B48"/>
    <w:rsid w:val="0031367E"/>
    <w:rsid w:val="0034106B"/>
    <w:rsid w:val="00345E05"/>
    <w:rsid w:val="00391072"/>
    <w:rsid w:val="003A0B86"/>
    <w:rsid w:val="003C6D07"/>
    <w:rsid w:val="003D0945"/>
    <w:rsid w:val="003D4924"/>
    <w:rsid w:val="003E3150"/>
    <w:rsid w:val="004479C2"/>
    <w:rsid w:val="00472402"/>
    <w:rsid w:val="00475D21"/>
    <w:rsid w:val="004838F7"/>
    <w:rsid w:val="004B1026"/>
    <w:rsid w:val="004D163F"/>
    <w:rsid w:val="004E0D13"/>
    <w:rsid w:val="00511094"/>
    <w:rsid w:val="00517938"/>
    <w:rsid w:val="00522E04"/>
    <w:rsid w:val="0052393C"/>
    <w:rsid w:val="00523C2A"/>
    <w:rsid w:val="00524F15"/>
    <w:rsid w:val="00533E61"/>
    <w:rsid w:val="0054052C"/>
    <w:rsid w:val="00542358"/>
    <w:rsid w:val="00543D97"/>
    <w:rsid w:val="0055214C"/>
    <w:rsid w:val="00564F9A"/>
    <w:rsid w:val="00571C94"/>
    <w:rsid w:val="0058087F"/>
    <w:rsid w:val="00590F68"/>
    <w:rsid w:val="005A0B7D"/>
    <w:rsid w:val="005A7480"/>
    <w:rsid w:val="005A7858"/>
    <w:rsid w:val="005C42F6"/>
    <w:rsid w:val="005D0EB8"/>
    <w:rsid w:val="005E1485"/>
    <w:rsid w:val="0060728B"/>
    <w:rsid w:val="006100B7"/>
    <w:rsid w:val="00610970"/>
    <w:rsid w:val="00635B4A"/>
    <w:rsid w:val="00645FEA"/>
    <w:rsid w:val="00646222"/>
    <w:rsid w:val="00647097"/>
    <w:rsid w:val="00647457"/>
    <w:rsid w:val="00663DD1"/>
    <w:rsid w:val="006672C4"/>
    <w:rsid w:val="00682C5B"/>
    <w:rsid w:val="00694C76"/>
    <w:rsid w:val="0069625B"/>
    <w:rsid w:val="006A0CAE"/>
    <w:rsid w:val="006A152A"/>
    <w:rsid w:val="006B61B1"/>
    <w:rsid w:val="006B6DB8"/>
    <w:rsid w:val="006B798D"/>
    <w:rsid w:val="006D4516"/>
    <w:rsid w:val="0071561A"/>
    <w:rsid w:val="00723E3E"/>
    <w:rsid w:val="00730D88"/>
    <w:rsid w:val="007A6417"/>
    <w:rsid w:val="007B5225"/>
    <w:rsid w:val="007C32EE"/>
    <w:rsid w:val="007D674D"/>
    <w:rsid w:val="007D7921"/>
    <w:rsid w:val="007F0F1D"/>
    <w:rsid w:val="00827A10"/>
    <w:rsid w:val="00836990"/>
    <w:rsid w:val="00865794"/>
    <w:rsid w:val="00871128"/>
    <w:rsid w:val="00880EE4"/>
    <w:rsid w:val="008A4898"/>
    <w:rsid w:val="008C2EB8"/>
    <w:rsid w:val="008C6D6D"/>
    <w:rsid w:val="008C7373"/>
    <w:rsid w:val="008D66EC"/>
    <w:rsid w:val="008E07DE"/>
    <w:rsid w:val="008F2E54"/>
    <w:rsid w:val="008F2EC0"/>
    <w:rsid w:val="00900DEC"/>
    <w:rsid w:val="0093086A"/>
    <w:rsid w:val="00953EE4"/>
    <w:rsid w:val="00957DD5"/>
    <w:rsid w:val="009604FD"/>
    <w:rsid w:val="009645EE"/>
    <w:rsid w:val="00984E06"/>
    <w:rsid w:val="00990C3C"/>
    <w:rsid w:val="00992B8B"/>
    <w:rsid w:val="009A11CF"/>
    <w:rsid w:val="009C1A9B"/>
    <w:rsid w:val="009C3B2B"/>
    <w:rsid w:val="009D163E"/>
    <w:rsid w:val="009D1CE7"/>
    <w:rsid w:val="009E1B04"/>
    <w:rsid w:val="009F7548"/>
    <w:rsid w:val="00A0013A"/>
    <w:rsid w:val="00A04275"/>
    <w:rsid w:val="00A27D95"/>
    <w:rsid w:val="00A30D74"/>
    <w:rsid w:val="00A35596"/>
    <w:rsid w:val="00A847FC"/>
    <w:rsid w:val="00A91A85"/>
    <w:rsid w:val="00A95B1E"/>
    <w:rsid w:val="00AA401E"/>
    <w:rsid w:val="00AD3F76"/>
    <w:rsid w:val="00AD7707"/>
    <w:rsid w:val="00AE6402"/>
    <w:rsid w:val="00B1166D"/>
    <w:rsid w:val="00B24B34"/>
    <w:rsid w:val="00B2776B"/>
    <w:rsid w:val="00B315DA"/>
    <w:rsid w:val="00B36CFD"/>
    <w:rsid w:val="00B46B91"/>
    <w:rsid w:val="00B67AF8"/>
    <w:rsid w:val="00B76519"/>
    <w:rsid w:val="00B82C2C"/>
    <w:rsid w:val="00B86080"/>
    <w:rsid w:val="00B95C7B"/>
    <w:rsid w:val="00BC4846"/>
    <w:rsid w:val="00BE44F1"/>
    <w:rsid w:val="00C248B9"/>
    <w:rsid w:val="00C3610E"/>
    <w:rsid w:val="00C71279"/>
    <w:rsid w:val="00C74AD8"/>
    <w:rsid w:val="00CD6FEA"/>
    <w:rsid w:val="00CF7F5A"/>
    <w:rsid w:val="00D2641D"/>
    <w:rsid w:val="00D450D2"/>
    <w:rsid w:val="00D4719A"/>
    <w:rsid w:val="00D80600"/>
    <w:rsid w:val="00D852C0"/>
    <w:rsid w:val="00D8586A"/>
    <w:rsid w:val="00D96C94"/>
    <w:rsid w:val="00DC061F"/>
    <w:rsid w:val="00DC11D4"/>
    <w:rsid w:val="00DE634C"/>
    <w:rsid w:val="00DF3AA6"/>
    <w:rsid w:val="00E01683"/>
    <w:rsid w:val="00E02FA4"/>
    <w:rsid w:val="00E04603"/>
    <w:rsid w:val="00E51F8C"/>
    <w:rsid w:val="00E57AA4"/>
    <w:rsid w:val="00E7034F"/>
    <w:rsid w:val="00E765E8"/>
    <w:rsid w:val="00EA47FF"/>
    <w:rsid w:val="00EE0CA4"/>
    <w:rsid w:val="00EE0CFE"/>
    <w:rsid w:val="00EE6C24"/>
    <w:rsid w:val="00EF26A5"/>
    <w:rsid w:val="00F02A9E"/>
    <w:rsid w:val="00F13476"/>
    <w:rsid w:val="00F1707F"/>
    <w:rsid w:val="00F2675A"/>
    <w:rsid w:val="00F42F69"/>
    <w:rsid w:val="00F860D7"/>
    <w:rsid w:val="00F87AED"/>
    <w:rsid w:val="00F94162"/>
    <w:rsid w:val="00F979AD"/>
    <w:rsid w:val="00FA4B15"/>
    <w:rsid w:val="00FE162A"/>
    <w:rsid w:val="00FF190C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A51B"/>
  <w15:chartTrackingRefBased/>
  <w15:docId w15:val="{CE6BC87D-EB32-4E58-B0FD-8B8FC4DA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1F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6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6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6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6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6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6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6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SBodyText">
    <w:name w:val="_LSBodyText"/>
    <w:basedOn w:val="BodyText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LS1DBL">
    <w:name w:val="_LS1&quot;DBL"/>
    <w:basedOn w:val="LSBodyText"/>
    <w:pPr>
      <w:spacing w:after="0" w:line="480" w:lineRule="exact"/>
      <w:ind w:firstLine="1440"/>
    </w:pPr>
  </w:style>
  <w:style w:type="paragraph" w:customStyle="1" w:styleId="LS1SGL">
    <w:name w:val="_LS1&quot;SGL"/>
    <w:basedOn w:val="LSBodyText"/>
    <w:pPr>
      <w:ind w:firstLine="1440"/>
    </w:pPr>
  </w:style>
  <w:style w:type="paragraph" w:customStyle="1" w:styleId="LSBlockQuote">
    <w:name w:val="_LSBlockQuote"/>
    <w:basedOn w:val="LSBodyText"/>
    <w:next w:val="LSBodyText"/>
    <w:pPr>
      <w:ind w:left="1440" w:right="1440"/>
    </w:pPr>
  </w:style>
  <w:style w:type="paragraph" w:customStyle="1" w:styleId="LSBT-1Indent">
    <w:name w:val="_LSBT-1&quot; Indent"/>
    <w:basedOn w:val="LSBodyText"/>
    <w:pPr>
      <w:ind w:firstLine="1440"/>
    </w:pPr>
  </w:style>
  <w:style w:type="paragraph" w:customStyle="1" w:styleId="LSByLine">
    <w:name w:val="_LSByLine"/>
    <w:basedOn w:val="LSBodyText"/>
    <w:pPr>
      <w:spacing w:after="0"/>
      <w:ind w:left="4320"/>
      <w:jc w:val="left"/>
    </w:pPr>
  </w:style>
  <w:style w:type="paragraph" w:customStyle="1" w:styleId="LSByLine2">
    <w:name w:val="_LSByLine2"/>
    <w:basedOn w:val="LSByLine"/>
    <w:pPr>
      <w:ind w:left="4680"/>
    </w:pPr>
  </w:style>
  <w:style w:type="paragraph" w:customStyle="1" w:styleId="LSLTR1DBL">
    <w:name w:val="_LSLTR1&quot;DBL"/>
    <w:basedOn w:val="Normal"/>
    <w:pPr>
      <w:spacing w:line="480" w:lineRule="exact"/>
      <w:ind w:firstLine="1440"/>
    </w:pPr>
    <w:rPr>
      <w:rFonts w:ascii="GoudyOlSt BT" w:hAnsi="GoudyOlSt BT"/>
    </w:rPr>
  </w:style>
  <w:style w:type="paragraph" w:customStyle="1" w:styleId="LSLTR-Body">
    <w:name w:val="_LSLTR-Body"/>
    <w:basedOn w:val="Normal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oudyOlSt BT" w:hAnsi="GoudyOlSt BT"/>
      <w:szCs w:val="20"/>
    </w:rPr>
  </w:style>
  <w:style w:type="paragraph" w:customStyle="1" w:styleId="LSLtrAddress">
    <w:name w:val="_LSLtrAddress"/>
    <w:basedOn w:val="LSLTR-Body"/>
    <w:pPr>
      <w:spacing w:after="0"/>
    </w:pPr>
  </w:style>
  <w:style w:type="paragraph" w:customStyle="1" w:styleId="LSLTR-Author">
    <w:name w:val="_LSLTR-Author"/>
    <w:basedOn w:val="LSLTR-Body"/>
    <w:pPr>
      <w:spacing w:after="480"/>
    </w:pPr>
  </w:style>
  <w:style w:type="paragraph" w:customStyle="1" w:styleId="LSLTRBlock">
    <w:name w:val="_LSLTRBlock"/>
    <w:basedOn w:val="LSLTR-Body"/>
    <w:next w:val="LSLTR-Body"/>
    <w:pPr>
      <w:ind w:left="1440" w:right="1440"/>
    </w:pPr>
  </w:style>
  <w:style w:type="paragraph" w:customStyle="1" w:styleId="LSLTR-cc">
    <w:name w:val="_LSLTR-cc"/>
    <w:basedOn w:val="LSLTR-Body"/>
    <w:pPr>
      <w:spacing w:after="0"/>
      <w:ind w:left="720" w:hanging="720"/>
    </w:pPr>
  </w:style>
  <w:style w:type="paragraph" w:customStyle="1" w:styleId="LSLTR-Closing">
    <w:name w:val="_LSLTR-Closing"/>
    <w:basedOn w:val="LSLTR-Body"/>
    <w:pPr>
      <w:spacing w:after="720"/>
    </w:pPr>
  </w:style>
  <w:style w:type="paragraph" w:customStyle="1" w:styleId="LSLTR-Date">
    <w:name w:val="_LSLTR-Date"/>
    <w:basedOn w:val="LSLTR-Body"/>
    <w:pPr>
      <w:spacing w:before="480" w:after="480"/>
    </w:pPr>
  </w:style>
  <w:style w:type="paragraph" w:customStyle="1" w:styleId="LSLTR-DocInfo">
    <w:name w:val="_LSLTR-DocInfo"/>
    <w:basedOn w:val="LSLtrAddress"/>
    <w:rPr>
      <w:sz w:val="16"/>
    </w:rPr>
  </w:style>
  <w:style w:type="paragraph" w:customStyle="1" w:styleId="LSLTR-enc">
    <w:name w:val="_LSLTR-enc"/>
    <w:basedOn w:val="LSLTR-Body"/>
    <w:pPr>
      <w:spacing w:after="0"/>
      <w:ind w:left="720" w:hanging="720"/>
    </w:pPr>
  </w:style>
  <w:style w:type="paragraph" w:customStyle="1" w:styleId="LSLTR-Fax">
    <w:name w:val="_LSLTR-Fax"/>
    <w:basedOn w:val="LSLTR-Closing"/>
    <w:pPr>
      <w:spacing w:after="240"/>
      <w:jc w:val="left"/>
    </w:pPr>
    <w:rPr>
      <w:rFonts w:ascii="Courier" w:hAnsi="Courier"/>
    </w:rPr>
  </w:style>
  <w:style w:type="paragraph" w:customStyle="1" w:styleId="LSLTR-Initials">
    <w:name w:val="_LSLTR-Initials"/>
    <w:basedOn w:val="LSLTR-Body"/>
  </w:style>
  <w:style w:type="paragraph" w:customStyle="1" w:styleId="LSLTR-sal">
    <w:name w:val="_LSLTR-sal"/>
    <w:basedOn w:val="Normal"/>
    <w:pPr>
      <w:overflowPunct w:val="0"/>
      <w:autoSpaceDE w:val="0"/>
      <w:autoSpaceDN w:val="0"/>
      <w:adjustRightInd w:val="0"/>
      <w:spacing w:before="240" w:after="240"/>
      <w:jc w:val="both"/>
      <w:textAlignment w:val="baseline"/>
    </w:pPr>
    <w:rPr>
      <w:rFonts w:ascii="GoudyOlSt BT" w:hAnsi="GoudyOlSt BT"/>
      <w:szCs w:val="20"/>
    </w:rPr>
  </w:style>
  <w:style w:type="paragraph" w:customStyle="1" w:styleId="LSLTR-RE">
    <w:name w:val="_LSLTR-RE"/>
    <w:basedOn w:val="LSLTR-sal"/>
    <w:next w:val="Normal"/>
    <w:pPr>
      <w:spacing w:after="0"/>
      <w:ind w:left="720" w:hanging="720"/>
      <w:jc w:val="left"/>
    </w:pPr>
    <w:rPr>
      <w:b/>
    </w:rPr>
  </w:style>
  <w:style w:type="paragraph" w:customStyle="1" w:styleId="LSLTRRE2">
    <w:name w:val="_LSLTRRE2"/>
    <w:basedOn w:val="LSLTR-RE"/>
    <w:pPr>
      <w:spacing w:before="0"/>
      <w:ind w:firstLine="0"/>
    </w:pPr>
  </w:style>
  <w:style w:type="paragraph" w:customStyle="1" w:styleId="LSLTR-VIA">
    <w:name w:val="_LSLTR-VIA"/>
    <w:basedOn w:val="LSLTR-Body"/>
    <w:pPr>
      <w:spacing w:after="0"/>
      <w:jc w:val="left"/>
    </w:pPr>
    <w:rPr>
      <w:b/>
      <w:smallCaps/>
    </w:rPr>
  </w:style>
  <w:style w:type="paragraph" w:customStyle="1" w:styleId="LSLTR-VIA2">
    <w:name w:val="_LSLTR-VIA2"/>
    <w:basedOn w:val="LSLTR-VIA"/>
  </w:style>
  <w:style w:type="paragraph" w:customStyle="1" w:styleId="LSPOINTNAME">
    <w:name w:val="_LSPOINTNAME"/>
    <w:basedOn w:val="LSBlockQuote"/>
    <w:next w:val="LS1DBL"/>
    <w:pPr>
      <w:pBdr>
        <w:bottom w:val="single" w:sz="4" w:space="1" w:color="auto"/>
      </w:pBdr>
    </w:pPr>
    <w:rPr>
      <w:b/>
      <w:caps/>
    </w:rPr>
  </w:style>
  <w:style w:type="paragraph" w:customStyle="1" w:styleId="LSTitle">
    <w:name w:val="_LSTitle"/>
    <w:basedOn w:val="LSBodyText"/>
    <w:next w:val="LSBodyText"/>
    <w:pPr>
      <w:jc w:val="center"/>
    </w:pPr>
    <w:rPr>
      <w:b/>
      <w:u w:val="single"/>
    </w:rPr>
  </w:style>
  <w:style w:type="paragraph" w:customStyle="1" w:styleId="LSTitle2">
    <w:name w:val="_LSTitle2"/>
    <w:basedOn w:val="LSBodyText"/>
    <w:next w:val="LSBodyText"/>
    <w:pPr>
      <w:jc w:val="center"/>
    </w:pPr>
    <w:rPr>
      <w:b/>
    </w:rPr>
  </w:style>
  <w:style w:type="paragraph" w:customStyle="1" w:styleId="LSTitleDbl">
    <w:name w:val="_LSTitleDbl"/>
    <w:basedOn w:val="LSTitle2"/>
    <w:pPr>
      <w:overflowPunct/>
      <w:autoSpaceDE/>
      <w:autoSpaceDN/>
      <w:adjustRightInd/>
      <w:spacing w:after="480"/>
      <w:textAlignment w:val="auto"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C0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61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61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61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61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61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61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C0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6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61F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C0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61F"/>
    <w:rPr>
      <w:rFonts w:ascii="Times New Roman" w:hAnsi="Times New Roman" w:cs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C061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C0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61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061F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0B6827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7B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127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BB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BB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E0C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courts.gov/system/files/court-opinions/2026/a2936-22a2959-2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p.nj.gov/wp-content/uploads/ej/docs/njdep-ao-2021-25-environmental-justic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p.nj.gov/wp-content/uploads/ej/ej-decision-pvsc-backup-power-facility-202407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wenstein.com/news-insights/publications/client-alerts/new-jersey-s-final-environmental-justice-rules-njdep-response-to-comments-practical-implications-and-applicability-environme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LS!317339084.3</documentid>
  <senderid>WINF6051</senderid>
  <senderemail>BWINFIELD@LOWENSTEIN.COM</senderemail>
  <lastmodified>2026-01-20T11:01:00.0000000-05:00</lastmodified>
  <database>LS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ED77C-A533-4BBE-B4CA-F86DD84E1BF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EFF21AC-E5F9-424C-B4DC-E45CE860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3750</Characters>
  <Application>Microsoft Office Word</Application>
  <DocSecurity>0</DocSecurity>
  <Lines>60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Winfield, Brian S.</dc:creator>
  <cp:keywords/>
  <dc:description/>
  <cp:lastModifiedBy>Winfield, Brian S.</cp:lastModifiedBy>
  <cp:revision>2</cp:revision>
  <dcterms:created xsi:type="dcterms:W3CDTF">2026-01-20T18:41:00Z</dcterms:created>
  <dcterms:modified xsi:type="dcterms:W3CDTF">2026-01-20T18:41:00Z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o">
    <vt:lpwstr>317339084</vt:lpwstr>
  </property>
  <property fmtid="{D5CDD505-2E9C-101B-9397-08002B2CF9AE}" pid="3" name="DocVer">
    <vt:lpwstr>3</vt:lpwstr>
  </property>
  <property fmtid="{D5CDD505-2E9C-101B-9397-08002B2CF9AE}" pid="4" name="LSCLIENT">
    <vt:lpwstr>99820</vt:lpwstr>
  </property>
  <property fmtid="{D5CDD505-2E9C-101B-9397-08002B2CF9AE}" pid="5" name="LSCLIENTNAME">
    <vt:lpwstr>LS - Env. Law &amp; Litigation Practice Grp.</vt:lpwstr>
  </property>
  <property fmtid="{D5CDD505-2E9C-101B-9397-08002B2CF9AE}" pid="6" name="LSMATTER">
    <vt:lpwstr>1</vt:lpwstr>
  </property>
  <property fmtid="{D5CDD505-2E9C-101B-9397-08002B2CF9AE}" pid="7" name="LSMATTERNAME">
    <vt:lpwstr>General</vt:lpwstr>
  </property>
  <property fmtid="{D5CDD505-2E9C-101B-9397-08002B2CF9AE}" pid="8" name="LSTypist">
    <vt:lpwstr>Winfield, Brian S.</vt:lpwstr>
  </property>
</Properties>
</file>