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18B5" w14:textId="77777777" w:rsidR="009D30D5" w:rsidRPr="004D1959" w:rsidRDefault="009D30D5" w:rsidP="009D30D5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4D1959">
        <w:rPr>
          <w:rFonts w:ascii="Arial" w:eastAsia="Calibri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28ABA0E" wp14:editId="6F1075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0145" cy="1362710"/>
            <wp:effectExtent l="0" t="0" r="8255" b="8890"/>
            <wp:wrapSquare wrapText="bothSides"/>
            <wp:docPr id="4" name="Picture 4" descr="A picture containing text, umbrella, accessory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umbrella, accessory, colorfu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59">
        <w:rPr>
          <w:rFonts w:ascii="Arial" w:eastAsia="Calibri" w:hAnsi="Arial" w:cs="Arial"/>
          <w:b/>
          <w:bCs/>
          <w:color w:val="000000"/>
        </w:rPr>
        <w:t>Lowenstein Sandler's In the Know Series</w:t>
      </w:r>
    </w:p>
    <w:p w14:paraId="5A66C06D" w14:textId="7B3956FA" w:rsidR="009D30D5" w:rsidRPr="004D1959" w:rsidRDefault="009D30D5" w:rsidP="009D30D5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465E56">
        <w:rPr>
          <w:rFonts w:ascii="Arial" w:eastAsia="Calibri" w:hAnsi="Arial" w:cs="Arial"/>
          <w:b/>
          <w:bCs/>
          <w:color w:val="000000"/>
        </w:rPr>
        <w:t>Video 24 – D&amp;O Insurance</w:t>
      </w:r>
      <w:r w:rsidR="00BF1700" w:rsidRPr="00465E56">
        <w:rPr>
          <w:rFonts w:ascii="Arial" w:eastAsia="Calibri" w:hAnsi="Arial" w:cs="Arial"/>
          <w:b/>
          <w:bCs/>
          <w:color w:val="000000"/>
        </w:rPr>
        <w:t>: Scope of Coverage</w:t>
      </w:r>
    </w:p>
    <w:p w14:paraId="32F10C49" w14:textId="77777777" w:rsidR="009D30D5" w:rsidRPr="004D1959" w:rsidRDefault="009D30D5" w:rsidP="009D30D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4D1959">
        <w:rPr>
          <w:rFonts w:ascii="Arial" w:eastAsia="Calibri" w:hAnsi="Arial" w:cs="Arial"/>
          <w:b/>
          <w:color w:val="000000"/>
        </w:rPr>
        <w:br/>
        <w:t xml:space="preserve">By </w:t>
      </w:r>
      <w:hyperlink r:id="rId5" w:history="1">
        <w:r w:rsidRPr="004D1959">
          <w:rPr>
            <w:rFonts w:ascii="Arial" w:eastAsia="Calibri" w:hAnsi="Arial" w:cs="Arial"/>
            <w:b/>
            <w:color w:val="0000FF"/>
            <w:u w:val="single"/>
          </w:rPr>
          <w:t>Eric Jesse</w:t>
        </w:r>
      </w:hyperlink>
      <w:r w:rsidRPr="004D1959">
        <w:rPr>
          <w:rFonts w:ascii="Arial" w:eastAsia="Calibri" w:hAnsi="Arial" w:cs="Arial"/>
          <w:color w:val="000000"/>
        </w:rPr>
        <w:t xml:space="preserve"> </w:t>
      </w:r>
      <w:r w:rsidRPr="004D1959">
        <w:rPr>
          <w:rFonts w:ascii="Arial" w:eastAsia="Calibri" w:hAnsi="Arial" w:cs="Arial"/>
          <w:b/>
          <w:color w:val="000000"/>
        </w:rPr>
        <w:br/>
      </w:r>
    </w:p>
    <w:p w14:paraId="64711B91" w14:textId="3F8C0A4F" w:rsidR="009D30D5" w:rsidRPr="004D1959" w:rsidRDefault="00BF1700" w:rsidP="009D30D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September </w:t>
      </w:r>
      <w:r w:rsidR="00465E56">
        <w:rPr>
          <w:rFonts w:ascii="Arial" w:eastAsia="Calibri" w:hAnsi="Arial" w:cs="Arial"/>
          <w:b/>
          <w:color w:val="000000"/>
        </w:rPr>
        <w:t xml:space="preserve">16, </w:t>
      </w:r>
      <w:r>
        <w:rPr>
          <w:rFonts w:ascii="Arial" w:eastAsia="Calibri" w:hAnsi="Arial" w:cs="Arial"/>
          <w:b/>
          <w:color w:val="000000"/>
        </w:rPr>
        <w:t>2024</w:t>
      </w:r>
    </w:p>
    <w:p w14:paraId="623B7BB7" w14:textId="77777777" w:rsidR="009D30D5" w:rsidRPr="004D1959" w:rsidRDefault="009D30D5" w:rsidP="009D30D5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1F0606DB" w14:textId="77777777" w:rsidR="009D30D5" w:rsidRPr="004D1959" w:rsidRDefault="009D30D5" w:rsidP="009D30D5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74014F92" w14:textId="77777777" w:rsidR="00BF1700" w:rsidRDefault="00BF1700" w:rsidP="009D30D5">
      <w:pPr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4541BE33" w14:textId="2EE3CB77" w:rsidR="009D30D5" w:rsidRPr="004D1959" w:rsidRDefault="009D30D5" w:rsidP="009D30D5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4D1959"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683C3" wp14:editId="7479C001">
                <wp:simplePos x="0" y="0"/>
                <wp:positionH relativeFrom="margin">
                  <wp:align>right</wp:align>
                </wp:positionH>
                <wp:positionV relativeFrom="paragraph">
                  <wp:posOffset>202564</wp:posOffset>
                </wp:positionV>
                <wp:extent cx="595312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30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7.55pt;margin-top:15.95pt;width:468.75pt;height:0;z-index:251660288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9PuAEAAFcDAAAOAAAAZHJzL2Uyb0RvYy54bWysU8Fu2zAMvQ/YPwi6L7YzZF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" strokeweight="1.5pt">
                <w10:wrap anchorx="margin"/>
              </v:shape>
            </w:pict>
          </mc:Fallback>
        </mc:AlternateContent>
      </w:r>
    </w:p>
    <w:p w14:paraId="062A7EAD" w14:textId="77777777" w:rsidR="009D30D5" w:rsidRPr="004D1959" w:rsidRDefault="009D30D5" w:rsidP="009D30D5">
      <w:pPr>
        <w:spacing w:after="0" w:line="240" w:lineRule="auto"/>
        <w:ind w:left="2160" w:hanging="2160"/>
        <w:rPr>
          <w:rFonts w:ascii="Arial" w:eastAsia="Calibri" w:hAnsi="Arial" w:cs="Arial"/>
          <w:b/>
          <w:color w:val="000000"/>
        </w:rPr>
      </w:pPr>
    </w:p>
    <w:p w14:paraId="274A65A7" w14:textId="77777777" w:rsidR="009D30D5" w:rsidRPr="004D1959" w:rsidRDefault="009D30D5" w:rsidP="009D30D5">
      <w:pPr>
        <w:spacing w:after="0" w:line="240" w:lineRule="auto"/>
        <w:ind w:left="2160" w:hanging="2160"/>
        <w:rPr>
          <w:rFonts w:ascii="Arial" w:eastAsia="Calibri" w:hAnsi="Arial" w:cs="Arial"/>
          <w:b/>
          <w:color w:val="000000"/>
        </w:rPr>
      </w:pPr>
    </w:p>
    <w:p w14:paraId="6C2A70FC" w14:textId="0CAF10B7" w:rsidR="009D30D5" w:rsidRPr="004D1959" w:rsidRDefault="009D30D5" w:rsidP="009D30D5">
      <w:pPr>
        <w:spacing w:after="0" w:line="240" w:lineRule="auto"/>
        <w:ind w:left="2160" w:hanging="2160"/>
        <w:rPr>
          <w:rFonts w:ascii="Arial" w:eastAsia="Calibri" w:hAnsi="Arial" w:cs="Arial"/>
          <w:bCs/>
          <w:color w:val="000000"/>
        </w:rPr>
      </w:pPr>
      <w:r w:rsidRPr="004D1959">
        <w:rPr>
          <w:rFonts w:ascii="Arial" w:eastAsia="Calibri" w:hAnsi="Arial" w:cs="Arial"/>
          <w:b/>
          <w:color w:val="000000"/>
        </w:rPr>
        <w:t>Eric Jesse:</w:t>
      </w:r>
      <w:r w:rsidRPr="004D1959">
        <w:rPr>
          <w:rFonts w:ascii="Arial" w:eastAsia="Calibri" w:hAnsi="Arial" w:cs="Arial"/>
          <w:b/>
          <w:color w:val="000000"/>
        </w:rPr>
        <w:tab/>
      </w:r>
      <w:r w:rsidRPr="004D1959">
        <w:rPr>
          <w:rFonts w:ascii="Arial" w:eastAsia="Calibri" w:hAnsi="Arial" w:cs="Arial"/>
          <w:bCs/>
          <w:color w:val="000000"/>
        </w:rPr>
        <w:t xml:space="preserve">Hi, I'm Eric Jesse, partner in Lowenstein Sandler's </w:t>
      </w:r>
      <w:hyperlink r:id="rId6" w:history="1">
        <w:r w:rsidRPr="004D1959">
          <w:rPr>
            <w:rStyle w:val="Hyperlink"/>
            <w:rFonts w:ascii="Arial" w:eastAsia="Calibri" w:hAnsi="Arial" w:cs="Arial"/>
            <w:b/>
          </w:rPr>
          <w:t>Insurance Recovery Group</w:t>
        </w:r>
      </w:hyperlink>
      <w:r w:rsidR="00BF1700">
        <w:rPr>
          <w:rFonts w:ascii="Arial" w:eastAsia="Calibri" w:hAnsi="Arial" w:cs="Arial"/>
          <w:bCs/>
          <w:color w:val="000000"/>
        </w:rPr>
        <w:t>. W</w:t>
      </w:r>
      <w:r w:rsidRPr="004D1959">
        <w:rPr>
          <w:rFonts w:ascii="Arial" w:eastAsia="Calibri" w:hAnsi="Arial" w:cs="Arial"/>
          <w:bCs/>
          <w:color w:val="000000"/>
        </w:rPr>
        <w:t xml:space="preserve">elcome to </w:t>
      </w:r>
      <w:r w:rsidRPr="004D1959">
        <w:rPr>
          <w:rFonts w:ascii="Arial" w:eastAsia="Calibri" w:hAnsi="Arial" w:cs="Arial"/>
          <w:b/>
          <w:color w:val="000000"/>
        </w:rPr>
        <w:t>“</w:t>
      </w:r>
      <w:hyperlink r:id="rId7" w:history="1">
        <w:r w:rsidRPr="004D1959">
          <w:rPr>
            <w:rStyle w:val="Hyperlink"/>
            <w:rFonts w:ascii="Arial" w:eastAsia="Calibri" w:hAnsi="Arial" w:cs="Arial"/>
            <w:b/>
          </w:rPr>
          <w:t>In the Know</w:t>
        </w:r>
      </w:hyperlink>
      <w:r w:rsidRPr="004D1959">
        <w:rPr>
          <w:rFonts w:ascii="Arial" w:eastAsia="Calibri" w:hAnsi="Arial" w:cs="Arial"/>
          <w:b/>
          <w:color w:val="000000"/>
        </w:rPr>
        <w:t>.”</w:t>
      </w:r>
    </w:p>
    <w:p w14:paraId="6B4B7A1B" w14:textId="77777777" w:rsidR="009D30D5" w:rsidRPr="009D30D5" w:rsidRDefault="009D30D5" w:rsidP="009D30D5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1EC08270" w14:textId="3E4C6A56" w:rsidR="009D30D5" w:rsidRPr="009D30D5" w:rsidRDefault="009D30D5" w:rsidP="00BF1700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 xml:space="preserve">We sometimes encounter the misconception that directors and </w:t>
      </w:r>
      <w:proofErr w:type="gramStart"/>
      <w:r w:rsidR="00EB415C" w:rsidRPr="009D30D5">
        <w:rPr>
          <w:rFonts w:ascii="Arial" w:eastAsia="Calibri" w:hAnsi="Arial" w:cs="Arial"/>
          <w:bCs/>
          <w:color w:val="000000"/>
        </w:rPr>
        <w:t>officers</w:t>
      </w:r>
      <w:proofErr w:type="gramEnd"/>
      <w:r w:rsidRPr="009D30D5">
        <w:rPr>
          <w:rFonts w:ascii="Arial" w:eastAsia="Calibri" w:hAnsi="Arial" w:cs="Arial"/>
          <w:bCs/>
          <w:color w:val="000000"/>
        </w:rPr>
        <w:t xml:space="preserve"> insurance, or D&amp;O insurance, only provides coverage for shareholder claims, but they also cover many other risks.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>And so today we're going to talk about the scope of coverage under D&amp;O policies.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>But first some table setting</w:t>
      </w:r>
      <w:r w:rsidR="00BF1700">
        <w:rPr>
          <w:rFonts w:ascii="Arial" w:eastAsia="Calibri" w:hAnsi="Arial" w:cs="Arial"/>
          <w:bCs/>
          <w:color w:val="000000"/>
        </w:rPr>
        <w:t xml:space="preserve">: </w:t>
      </w:r>
      <w:r w:rsidRPr="009D30D5">
        <w:rPr>
          <w:rFonts w:ascii="Arial" w:eastAsia="Calibri" w:hAnsi="Arial" w:cs="Arial"/>
          <w:bCs/>
          <w:color w:val="000000"/>
        </w:rPr>
        <w:t>Even though the policy is called a directors and officers policy, and will cover directors and officers, these policies can also cover the company.</w:t>
      </w:r>
    </w:p>
    <w:p w14:paraId="5A58D33C" w14:textId="77777777" w:rsidR="009D30D5" w:rsidRPr="009D30D5" w:rsidRDefault="009D30D5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</w:p>
    <w:p w14:paraId="31D541FD" w14:textId="77777777" w:rsidR="00BF1700" w:rsidRDefault="009D30D5" w:rsidP="00EB415C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>Either for its indemnification obligations to directors and officers who face a claim, or when the company itself is named in a claim for its own wrongful acts.</w:t>
      </w:r>
      <w:r w:rsidR="00EB415C">
        <w:rPr>
          <w:rFonts w:ascii="Arial" w:eastAsia="Calibri" w:hAnsi="Arial" w:cs="Arial"/>
          <w:bCs/>
          <w:color w:val="000000"/>
        </w:rPr>
        <w:t xml:space="preserve"> </w:t>
      </w:r>
    </w:p>
    <w:p w14:paraId="14C8C522" w14:textId="77777777" w:rsidR="00BF1700" w:rsidRDefault="00BF1700" w:rsidP="00EB415C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</w:p>
    <w:p w14:paraId="3D79A443" w14:textId="590F06F5" w:rsidR="009D30D5" w:rsidRPr="009D30D5" w:rsidRDefault="009D30D5" w:rsidP="001109FF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>Now that we've covered the who, let's cover the what</w:t>
      </w:r>
      <w:r w:rsidR="00BF1700">
        <w:rPr>
          <w:rFonts w:ascii="Arial" w:eastAsia="Calibri" w:hAnsi="Arial" w:cs="Arial"/>
          <w:bCs/>
          <w:color w:val="000000"/>
        </w:rPr>
        <w:t xml:space="preserve">: </w:t>
      </w:r>
      <w:r w:rsidRPr="009D30D5">
        <w:rPr>
          <w:rFonts w:ascii="Arial" w:eastAsia="Calibri" w:hAnsi="Arial" w:cs="Arial"/>
          <w:bCs/>
          <w:color w:val="000000"/>
        </w:rPr>
        <w:t xml:space="preserve">While coverage is traditionally triggered by a capital C claim, which would be a lawsuit or a demand for monetary or non-monetary relief, insurance can also provide what's called </w:t>
      </w:r>
      <w:r w:rsidR="00BF1700">
        <w:rPr>
          <w:rFonts w:ascii="Arial" w:eastAsia="Calibri" w:hAnsi="Arial" w:cs="Arial"/>
          <w:bCs/>
          <w:color w:val="000000"/>
        </w:rPr>
        <w:t>“</w:t>
      </w:r>
      <w:r w:rsidRPr="009D30D5">
        <w:rPr>
          <w:rFonts w:ascii="Arial" w:eastAsia="Calibri" w:hAnsi="Arial" w:cs="Arial"/>
          <w:bCs/>
          <w:color w:val="000000"/>
        </w:rPr>
        <w:t>pre-claim</w:t>
      </w:r>
      <w:r w:rsidR="00BF1700">
        <w:rPr>
          <w:rFonts w:ascii="Arial" w:eastAsia="Calibri" w:hAnsi="Arial" w:cs="Arial"/>
          <w:bCs/>
          <w:color w:val="000000"/>
        </w:rPr>
        <w:t>”</w:t>
      </w:r>
      <w:r w:rsidRPr="009D30D5">
        <w:rPr>
          <w:rFonts w:ascii="Arial" w:eastAsia="Calibri" w:hAnsi="Arial" w:cs="Arial"/>
          <w:bCs/>
          <w:color w:val="000000"/>
        </w:rPr>
        <w:t xml:space="preserve"> or inquiry coverage.</w:t>
      </w:r>
      <w:r w:rsidR="00BF1700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 xml:space="preserve">This is coverage for directors and officers when they receive, for example, a quote-unquote </w:t>
      </w:r>
      <w:r w:rsidR="001109FF">
        <w:rPr>
          <w:rFonts w:ascii="Arial" w:eastAsia="Calibri" w:hAnsi="Arial" w:cs="Arial"/>
          <w:bCs/>
          <w:color w:val="000000"/>
        </w:rPr>
        <w:t>“</w:t>
      </w:r>
      <w:r w:rsidRPr="009D30D5">
        <w:rPr>
          <w:rFonts w:ascii="Arial" w:eastAsia="Calibri" w:hAnsi="Arial" w:cs="Arial"/>
          <w:bCs/>
          <w:color w:val="000000"/>
        </w:rPr>
        <w:t>request</w:t>
      </w:r>
      <w:r w:rsidR="001109FF">
        <w:rPr>
          <w:rFonts w:ascii="Arial" w:eastAsia="Calibri" w:hAnsi="Arial" w:cs="Arial"/>
          <w:bCs/>
          <w:color w:val="000000"/>
        </w:rPr>
        <w:t>”</w:t>
      </w:r>
      <w:r w:rsidRPr="009D30D5">
        <w:rPr>
          <w:rFonts w:ascii="Arial" w:eastAsia="Calibri" w:hAnsi="Arial" w:cs="Arial"/>
          <w:bCs/>
          <w:color w:val="000000"/>
        </w:rPr>
        <w:t xml:space="preserve"> from a regulator to appear for an interview or to provide documents.</w:t>
      </w:r>
      <w:r w:rsidR="001109FF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 xml:space="preserve">When this coverage is triggered, a policy will cover the </w:t>
      </w:r>
      <w:r w:rsidR="00EB415C" w:rsidRPr="009D30D5">
        <w:rPr>
          <w:rFonts w:ascii="Arial" w:eastAsia="Calibri" w:hAnsi="Arial" w:cs="Arial"/>
          <w:bCs/>
          <w:color w:val="000000"/>
        </w:rPr>
        <w:t>directors’</w:t>
      </w:r>
      <w:r w:rsidRPr="009D30D5">
        <w:rPr>
          <w:rFonts w:ascii="Arial" w:eastAsia="Calibri" w:hAnsi="Arial" w:cs="Arial"/>
          <w:bCs/>
          <w:color w:val="000000"/>
        </w:rPr>
        <w:t xml:space="preserve"> and officers' attorney's fees and expenses.</w:t>
      </w:r>
      <w:r w:rsidR="001109FF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>And if those informal requests turn into more formal governmental or regulatory investigations, there can be coverage for that too.</w:t>
      </w:r>
    </w:p>
    <w:p w14:paraId="7E9F7F85" w14:textId="77777777" w:rsidR="009D30D5" w:rsidRPr="009D30D5" w:rsidRDefault="009D30D5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</w:p>
    <w:p w14:paraId="5E4F385E" w14:textId="58323A56" w:rsidR="009D30D5" w:rsidRPr="009D30D5" w:rsidRDefault="009D30D5" w:rsidP="001109FF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>Here, coverage is often triggered by a formal order of investigation or a written communication from the government that identifies the director or officer as the target of an investigation.</w:t>
      </w:r>
      <w:r w:rsidR="001109FF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>Coverage could also be triggered through a civil investigative demand or a subpoena from the government.</w:t>
      </w:r>
    </w:p>
    <w:p w14:paraId="2032606B" w14:textId="77777777" w:rsidR="009D30D5" w:rsidRPr="009D30D5" w:rsidRDefault="009D30D5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</w:p>
    <w:p w14:paraId="41536477" w14:textId="77A13883" w:rsidR="009D30D5" w:rsidRPr="009D30D5" w:rsidRDefault="009D30D5" w:rsidP="001109FF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>Here are some other types of claims that can be covered</w:t>
      </w:r>
      <w:r w:rsidR="001109FF">
        <w:rPr>
          <w:rFonts w:ascii="Arial" w:eastAsia="Calibri" w:hAnsi="Arial" w:cs="Arial"/>
          <w:bCs/>
          <w:color w:val="000000"/>
        </w:rPr>
        <w:t>: c</w:t>
      </w:r>
      <w:r w:rsidRPr="009D30D5">
        <w:rPr>
          <w:rFonts w:ascii="Arial" w:eastAsia="Calibri" w:hAnsi="Arial" w:cs="Arial"/>
          <w:bCs/>
          <w:color w:val="000000"/>
        </w:rPr>
        <w:t>laims asserting fraud</w:t>
      </w:r>
      <w:r w:rsidR="001109FF">
        <w:rPr>
          <w:rFonts w:ascii="Arial" w:eastAsia="Calibri" w:hAnsi="Arial" w:cs="Arial"/>
          <w:bCs/>
          <w:color w:val="000000"/>
        </w:rPr>
        <w:t>—yes,</w:t>
      </w:r>
      <w:r w:rsidRPr="009D30D5">
        <w:rPr>
          <w:rFonts w:ascii="Arial" w:eastAsia="Calibri" w:hAnsi="Arial" w:cs="Arial"/>
          <w:bCs/>
          <w:color w:val="000000"/>
        </w:rPr>
        <w:t xml:space="preserve"> fraud claims are covered for defense costs or settlement unless and until there's a final adjudication establishing that fraud occurred</w:t>
      </w:r>
      <w:r w:rsidR="001109FF">
        <w:rPr>
          <w:rFonts w:ascii="Arial" w:eastAsia="Calibri" w:hAnsi="Arial" w:cs="Arial"/>
          <w:bCs/>
          <w:color w:val="000000"/>
        </w:rPr>
        <w:t>; c</w:t>
      </w:r>
      <w:r w:rsidRPr="009D30D5">
        <w:rPr>
          <w:rFonts w:ascii="Arial" w:eastAsia="Calibri" w:hAnsi="Arial" w:cs="Arial"/>
          <w:bCs/>
          <w:color w:val="000000"/>
        </w:rPr>
        <w:t>laims by lenders can be covered</w:t>
      </w:r>
      <w:r w:rsidR="001109FF">
        <w:rPr>
          <w:rFonts w:ascii="Arial" w:eastAsia="Calibri" w:hAnsi="Arial" w:cs="Arial"/>
          <w:bCs/>
          <w:color w:val="000000"/>
        </w:rPr>
        <w:t>,</w:t>
      </w:r>
      <w:r w:rsidRPr="009D30D5">
        <w:rPr>
          <w:rFonts w:ascii="Arial" w:eastAsia="Calibri" w:hAnsi="Arial" w:cs="Arial"/>
          <w:bCs/>
          <w:color w:val="000000"/>
        </w:rPr>
        <w:t xml:space="preserve"> and claims by trade creditors can be covered as well</w:t>
      </w:r>
      <w:r w:rsidR="001109FF">
        <w:rPr>
          <w:rFonts w:ascii="Arial" w:eastAsia="Calibri" w:hAnsi="Arial" w:cs="Arial"/>
          <w:bCs/>
          <w:color w:val="000000"/>
        </w:rPr>
        <w:t>—i</w:t>
      </w:r>
      <w:r w:rsidRPr="009D30D5">
        <w:rPr>
          <w:rFonts w:ascii="Arial" w:eastAsia="Calibri" w:hAnsi="Arial" w:cs="Arial"/>
          <w:bCs/>
          <w:color w:val="000000"/>
        </w:rPr>
        <w:t>n</w:t>
      </w:r>
      <w:r w:rsidR="001109FF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 xml:space="preserve">the bankruptcy setting, creditor committees may bring claims against the Ds and </w:t>
      </w:r>
      <w:proofErr w:type="spellStart"/>
      <w:r w:rsidRPr="009D30D5">
        <w:rPr>
          <w:rFonts w:ascii="Arial" w:eastAsia="Calibri" w:hAnsi="Arial" w:cs="Arial"/>
          <w:bCs/>
          <w:color w:val="000000"/>
        </w:rPr>
        <w:t>Os</w:t>
      </w:r>
      <w:proofErr w:type="spellEnd"/>
      <w:r w:rsidRPr="009D30D5">
        <w:rPr>
          <w:rFonts w:ascii="Arial" w:eastAsia="Calibri" w:hAnsi="Arial" w:cs="Arial"/>
          <w:bCs/>
          <w:color w:val="000000"/>
        </w:rPr>
        <w:t>, alleging that they caused the company's bankruptcy and left the creditors' bills unpaid</w:t>
      </w:r>
      <w:r w:rsidR="001109FF">
        <w:rPr>
          <w:rFonts w:ascii="Arial" w:eastAsia="Calibri" w:hAnsi="Arial" w:cs="Arial"/>
          <w:bCs/>
          <w:color w:val="000000"/>
        </w:rPr>
        <w:t>; a</w:t>
      </w:r>
      <w:r w:rsidRPr="009D30D5">
        <w:rPr>
          <w:rFonts w:ascii="Arial" w:eastAsia="Calibri" w:hAnsi="Arial" w:cs="Arial"/>
          <w:bCs/>
          <w:color w:val="000000"/>
        </w:rPr>
        <w:t xml:space="preserve"> D&amp;O policy can cover those claims</w:t>
      </w:r>
      <w:r w:rsidR="001109FF">
        <w:rPr>
          <w:rFonts w:ascii="Arial" w:eastAsia="Calibri" w:hAnsi="Arial" w:cs="Arial"/>
          <w:bCs/>
          <w:color w:val="000000"/>
        </w:rPr>
        <w:t>. E</w:t>
      </w:r>
      <w:r w:rsidRPr="009D30D5">
        <w:rPr>
          <w:rFonts w:ascii="Arial" w:eastAsia="Calibri" w:hAnsi="Arial" w:cs="Arial"/>
          <w:bCs/>
          <w:color w:val="000000"/>
        </w:rPr>
        <w:t xml:space="preserve">ven claims by competitors can be </w:t>
      </w:r>
      <w:r w:rsidRPr="009D30D5">
        <w:rPr>
          <w:rFonts w:ascii="Arial" w:eastAsia="Calibri" w:hAnsi="Arial" w:cs="Arial"/>
          <w:bCs/>
          <w:color w:val="000000"/>
        </w:rPr>
        <w:lastRenderedPageBreak/>
        <w:t>covered.</w:t>
      </w:r>
      <w:r w:rsidR="001109FF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>There can be coverage, for example, for tortious interference claims or theft of trade secret claims.</w:t>
      </w:r>
      <w:r w:rsidR="001109FF">
        <w:rPr>
          <w:rFonts w:ascii="Arial" w:eastAsia="Calibri" w:hAnsi="Arial" w:cs="Arial"/>
          <w:bCs/>
          <w:color w:val="000000"/>
        </w:rPr>
        <w:t xml:space="preserve"> </w:t>
      </w:r>
      <w:r w:rsidRPr="009D30D5">
        <w:rPr>
          <w:rFonts w:ascii="Arial" w:eastAsia="Calibri" w:hAnsi="Arial" w:cs="Arial"/>
          <w:bCs/>
          <w:color w:val="000000"/>
        </w:rPr>
        <w:t>But as our viewers know, the devil is in the details.</w:t>
      </w:r>
    </w:p>
    <w:p w14:paraId="3741FFB3" w14:textId="77777777" w:rsidR="009D30D5" w:rsidRPr="009D30D5" w:rsidRDefault="009D30D5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</w:p>
    <w:p w14:paraId="79FB4107" w14:textId="21EFABBB" w:rsidR="009D30D5" w:rsidRPr="009D30D5" w:rsidRDefault="001109FF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>So,</w:t>
      </w:r>
      <w:r w:rsidR="009D30D5" w:rsidRPr="009D30D5">
        <w:rPr>
          <w:rFonts w:ascii="Arial" w:eastAsia="Calibri" w:hAnsi="Arial" w:cs="Arial"/>
          <w:bCs/>
          <w:color w:val="000000"/>
        </w:rPr>
        <w:t xml:space="preserve"> while D&amp;O insurance can provide the broad coverage we've identified today, it is critical to make sure that the policy wording captures these coverages.</w:t>
      </w:r>
    </w:p>
    <w:p w14:paraId="36FAA2ED" w14:textId="77777777" w:rsidR="009D30D5" w:rsidRPr="009D30D5" w:rsidRDefault="009D30D5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</w:p>
    <w:p w14:paraId="2140F8BF" w14:textId="7ED9C9AD" w:rsidR="009D30D5" w:rsidRPr="004D1959" w:rsidRDefault="009D30D5" w:rsidP="009D30D5">
      <w:pPr>
        <w:spacing w:after="0" w:line="240" w:lineRule="auto"/>
        <w:ind w:left="2160"/>
        <w:rPr>
          <w:rFonts w:ascii="Arial" w:eastAsia="Calibri" w:hAnsi="Arial" w:cs="Arial"/>
          <w:bCs/>
          <w:color w:val="000000"/>
        </w:rPr>
      </w:pPr>
      <w:r w:rsidRPr="009D30D5">
        <w:rPr>
          <w:rFonts w:ascii="Arial" w:eastAsia="Calibri" w:hAnsi="Arial" w:cs="Arial"/>
          <w:bCs/>
          <w:color w:val="000000"/>
        </w:rPr>
        <w:t>Thank you for joining us on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4D1959">
        <w:rPr>
          <w:rFonts w:ascii="Arial" w:eastAsia="Calibri" w:hAnsi="Arial" w:cs="Arial"/>
          <w:bCs/>
          <w:color w:val="000000"/>
        </w:rPr>
        <w:t>“</w:t>
      </w:r>
      <w:hyperlink r:id="rId8" w:history="1">
        <w:r w:rsidRPr="004D1959">
          <w:rPr>
            <w:rFonts w:ascii="Arial" w:eastAsia="Calibri" w:hAnsi="Arial" w:cs="Arial"/>
            <w:b/>
            <w:bCs/>
            <w:color w:val="0000FF"/>
            <w:u w:val="single"/>
          </w:rPr>
          <w:t>In the Know</w:t>
        </w:r>
      </w:hyperlink>
      <w:r w:rsidRPr="004D1959">
        <w:rPr>
          <w:rFonts w:ascii="Arial" w:eastAsia="Calibri" w:hAnsi="Arial" w:cs="Arial"/>
          <w:color w:val="000000"/>
        </w:rPr>
        <w:t>."</w:t>
      </w:r>
    </w:p>
    <w:p w14:paraId="5493872F" w14:textId="77777777" w:rsidR="009D30D5" w:rsidRPr="004D1959" w:rsidRDefault="009D30D5" w:rsidP="009D30D5">
      <w:pPr>
        <w:spacing w:after="0" w:line="240" w:lineRule="auto"/>
        <w:ind w:left="2160"/>
        <w:rPr>
          <w:rFonts w:ascii="Arial" w:eastAsia="Calibri" w:hAnsi="Arial" w:cs="Arial"/>
          <w:color w:val="000000"/>
        </w:rPr>
      </w:pPr>
    </w:p>
    <w:p w14:paraId="3AB60113" w14:textId="77777777" w:rsidR="009D30D5" w:rsidRPr="004D1959" w:rsidRDefault="009D30D5" w:rsidP="009D30D5">
      <w:pPr>
        <w:rPr>
          <w:rFonts w:ascii="Arial" w:hAnsi="Arial" w:cs="Arial"/>
        </w:rPr>
      </w:pPr>
    </w:p>
    <w:p w14:paraId="7353F810" w14:textId="77777777" w:rsidR="009D30D5" w:rsidRDefault="009D30D5" w:rsidP="009D30D5"/>
    <w:p w14:paraId="7760668F" w14:textId="77777777" w:rsidR="009D30D5" w:rsidRDefault="009D30D5" w:rsidP="009D30D5"/>
    <w:p w14:paraId="484B79C1" w14:textId="77777777" w:rsidR="009D30D5" w:rsidRDefault="009D30D5" w:rsidP="009D30D5"/>
    <w:p w14:paraId="09770F4E" w14:textId="123B23C0" w:rsidR="00F33050" w:rsidRDefault="00F33050" w:rsidP="009D30D5"/>
    <w:sectPr w:rsidR="00F33050" w:rsidSect="009D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D5"/>
    <w:rsid w:val="001109FF"/>
    <w:rsid w:val="00465E56"/>
    <w:rsid w:val="005E6C12"/>
    <w:rsid w:val="006D084A"/>
    <w:rsid w:val="0079006F"/>
    <w:rsid w:val="007A396A"/>
    <w:rsid w:val="007C13F8"/>
    <w:rsid w:val="007F56A7"/>
    <w:rsid w:val="009C272F"/>
    <w:rsid w:val="009D30D5"/>
    <w:rsid w:val="00AA20AB"/>
    <w:rsid w:val="00BF1700"/>
    <w:rsid w:val="00CA282E"/>
    <w:rsid w:val="00EB415C"/>
    <w:rsid w:val="00F33050"/>
    <w:rsid w:val="00F56A6B"/>
    <w:rsid w:val="00F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BA88"/>
  <w15:chartTrackingRefBased/>
  <w15:docId w15:val="{6B7AE4E4-EA0E-4023-803F-6BC5B8C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0D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0D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3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0D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3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0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30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wenstein.com/news-insights/videos-listing?page=1&amp;pageSize=25&amp;practice=insurance-recovery&amp;sector=&amp;author=&amp;start=&amp;end&amp;pid=405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wenstein.com/news-insights/videos-listing?page=1&amp;pageSize=25&amp;practice=insurance-recovery&amp;sector=&amp;author=&amp;start=&amp;end&amp;pid=405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wenstein.com/practices/insurance-recovery" TargetMode="External"/><Relationship Id="rId5" Type="http://schemas.openxmlformats.org/officeDocument/2006/relationships/hyperlink" Target="https://www.lowenstein.com/people/attorneys/eric-jes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2824</Characters>
  <Application>Microsoft Office Word</Application>
  <DocSecurity>0</DocSecurity>
  <Lines>122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Ciaramello, Gianna Nicole</dc:creator>
  <cp:keywords/>
  <dc:description/>
  <cp:lastModifiedBy>Gold, Kate M.</cp:lastModifiedBy>
  <cp:revision>4</cp:revision>
  <dcterms:created xsi:type="dcterms:W3CDTF">2024-08-01T14:51:00Z</dcterms:created>
  <dcterms:modified xsi:type="dcterms:W3CDTF">2024-09-13T18:18:00Z</dcterms:modified>
</cp:coreProperties>
</file>